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80BE" w14:textId="44C9E1A6" w:rsidR="0008786A" w:rsidRDefault="0058217B" w:rsidP="004E7EEA">
      <w:pPr>
        <w:pStyle w:val="Default"/>
        <w:jc w:val="center"/>
        <w:rPr>
          <w:rFonts w:ascii="Verdana" w:hAnsi="Verdana" w:cstheme="minorHAnsi"/>
          <w:sz w:val="22"/>
          <w:szCs w:val="22"/>
          <w:vertAlign w:val="superscript"/>
        </w:rPr>
      </w:pPr>
      <w:r>
        <w:rPr>
          <w:rFonts w:ascii="Verdana" w:hAnsi="Verdana" w:cstheme="minorHAnsi"/>
          <w:sz w:val="22"/>
          <w:szCs w:val="22"/>
        </w:rPr>
        <w:t>R</w:t>
      </w:r>
      <w:r w:rsidR="0008786A" w:rsidRPr="00DA10E5">
        <w:rPr>
          <w:rFonts w:ascii="Verdana" w:hAnsi="Verdana" w:cstheme="minorHAnsi"/>
          <w:sz w:val="22"/>
          <w:szCs w:val="22"/>
        </w:rPr>
        <w:t>. C</w:t>
      </w:r>
      <w:r>
        <w:rPr>
          <w:rFonts w:ascii="Verdana" w:hAnsi="Verdana" w:cstheme="minorHAnsi"/>
          <w:sz w:val="22"/>
          <w:szCs w:val="22"/>
        </w:rPr>
        <w:t>ACCIAMANI</w:t>
      </w:r>
      <w:r w:rsidR="0008786A" w:rsidRPr="00DA10E5">
        <w:rPr>
          <w:rFonts w:ascii="Verdana" w:hAnsi="Verdana" w:cstheme="minorHAnsi"/>
          <w:sz w:val="22"/>
          <w:szCs w:val="22"/>
          <w:vertAlign w:val="superscript"/>
        </w:rPr>
        <w:t>1</w:t>
      </w:r>
      <w:r w:rsidR="0008786A" w:rsidRPr="00DA10E5">
        <w:rPr>
          <w:rFonts w:ascii="Verdana" w:hAnsi="Verdana" w:cstheme="minorHAnsi"/>
          <w:sz w:val="22"/>
          <w:szCs w:val="22"/>
        </w:rPr>
        <w:t xml:space="preserve">, </w:t>
      </w:r>
      <w:r>
        <w:rPr>
          <w:rFonts w:ascii="Verdana" w:hAnsi="Verdana" w:cstheme="minorHAnsi"/>
          <w:sz w:val="22"/>
          <w:szCs w:val="22"/>
        </w:rPr>
        <w:t>S</w:t>
      </w:r>
      <w:r w:rsidR="0008786A" w:rsidRPr="00DA10E5">
        <w:rPr>
          <w:rFonts w:ascii="Verdana" w:hAnsi="Verdana" w:cstheme="minorHAnsi"/>
          <w:sz w:val="22"/>
          <w:szCs w:val="22"/>
        </w:rPr>
        <w:t>. CO</w:t>
      </w:r>
      <w:r>
        <w:rPr>
          <w:rFonts w:ascii="Verdana" w:hAnsi="Verdana" w:cstheme="minorHAnsi"/>
          <w:sz w:val="22"/>
          <w:szCs w:val="22"/>
        </w:rPr>
        <w:t>LELLA</w:t>
      </w:r>
      <w:r w:rsidRPr="00DA10E5">
        <w:rPr>
          <w:rFonts w:ascii="Verdana" w:hAnsi="Verdana" w:cstheme="minorHAnsi"/>
          <w:sz w:val="22"/>
          <w:szCs w:val="22"/>
          <w:vertAlign w:val="superscript"/>
        </w:rPr>
        <w:t>1</w:t>
      </w:r>
      <w:r>
        <w:rPr>
          <w:rFonts w:ascii="Verdana" w:hAnsi="Verdana" w:cstheme="minorHAnsi"/>
          <w:sz w:val="22"/>
          <w:szCs w:val="22"/>
        </w:rPr>
        <w:t>, A. SANTOJANNI</w:t>
      </w:r>
      <w:r w:rsidRPr="00DA10E5">
        <w:rPr>
          <w:rFonts w:ascii="Verdana" w:hAnsi="Verdana" w:cstheme="minorHAnsi"/>
          <w:sz w:val="22"/>
          <w:szCs w:val="22"/>
          <w:vertAlign w:val="superscript"/>
        </w:rPr>
        <w:t>1</w:t>
      </w:r>
    </w:p>
    <w:p w14:paraId="718202E3" w14:textId="77777777" w:rsidR="004E7EEA" w:rsidRPr="00DA10E5" w:rsidRDefault="004E7EEA" w:rsidP="004E7EEA">
      <w:pPr>
        <w:pStyle w:val="Default"/>
        <w:jc w:val="center"/>
        <w:rPr>
          <w:rFonts w:ascii="Verdana" w:hAnsi="Verdana" w:cstheme="minorHAnsi"/>
          <w:sz w:val="22"/>
          <w:szCs w:val="22"/>
        </w:rPr>
      </w:pPr>
    </w:p>
    <w:p w14:paraId="3FE79FD4" w14:textId="77777777" w:rsidR="00BF23AA" w:rsidRDefault="0008786A" w:rsidP="004E7EEA">
      <w:pPr>
        <w:pStyle w:val="Default"/>
        <w:jc w:val="center"/>
        <w:rPr>
          <w:rFonts w:ascii="Verdana" w:hAnsi="Verdana" w:cstheme="minorHAnsi"/>
          <w:sz w:val="18"/>
          <w:szCs w:val="18"/>
          <w:lang w:val="en-US"/>
        </w:rPr>
      </w:pPr>
      <w:r w:rsidRPr="0058217B">
        <w:rPr>
          <w:rFonts w:ascii="Verdana" w:hAnsi="Verdana" w:cstheme="minorHAnsi"/>
          <w:sz w:val="18"/>
          <w:szCs w:val="18"/>
          <w:vertAlign w:val="superscript"/>
          <w:lang w:val="en-US"/>
        </w:rPr>
        <w:t>1</w:t>
      </w:r>
      <w:r w:rsidRPr="0058217B">
        <w:rPr>
          <w:rFonts w:ascii="Verdana" w:hAnsi="Verdana" w:cstheme="minorHAnsi"/>
          <w:sz w:val="18"/>
          <w:szCs w:val="18"/>
          <w:lang w:val="en-US"/>
        </w:rPr>
        <w:t>In</w:t>
      </w:r>
      <w:r w:rsidR="0058217B" w:rsidRPr="0058217B">
        <w:rPr>
          <w:rFonts w:ascii="Verdana" w:hAnsi="Verdana" w:cstheme="minorHAnsi"/>
          <w:sz w:val="18"/>
          <w:szCs w:val="18"/>
          <w:lang w:val="en-US"/>
        </w:rPr>
        <w:t xml:space="preserve">stitute for Marine Biological Resources and Biotechnologies, </w:t>
      </w:r>
    </w:p>
    <w:p w14:paraId="1458A205" w14:textId="2CA7E421" w:rsidR="0008786A" w:rsidRPr="0058217B" w:rsidRDefault="0058217B" w:rsidP="004E7EEA">
      <w:pPr>
        <w:pStyle w:val="Default"/>
        <w:jc w:val="center"/>
        <w:rPr>
          <w:rFonts w:ascii="Verdana" w:hAnsi="Verdana" w:cstheme="minorHAnsi"/>
          <w:sz w:val="18"/>
          <w:szCs w:val="18"/>
          <w:lang w:val="en-US"/>
        </w:rPr>
      </w:pPr>
      <w:r w:rsidRPr="0058217B">
        <w:rPr>
          <w:rFonts w:ascii="Verdana" w:hAnsi="Verdana" w:cstheme="minorHAnsi"/>
          <w:sz w:val="18"/>
          <w:szCs w:val="18"/>
          <w:lang w:val="en-US"/>
        </w:rPr>
        <w:t>National Research Coun</w:t>
      </w:r>
      <w:r>
        <w:rPr>
          <w:rFonts w:ascii="Verdana" w:hAnsi="Verdana" w:cstheme="minorHAnsi"/>
          <w:sz w:val="18"/>
          <w:szCs w:val="18"/>
          <w:lang w:val="en-US"/>
        </w:rPr>
        <w:t>cil (IRBIM-</w:t>
      </w:r>
      <w:r w:rsidR="00BF23AA">
        <w:rPr>
          <w:rFonts w:ascii="Verdana" w:hAnsi="Verdana" w:cstheme="minorHAnsi"/>
          <w:sz w:val="18"/>
          <w:szCs w:val="18"/>
          <w:lang w:val="en-US"/>
        </w:rPr>
        <w:t>CNR), Ancona, Italy</w:t>
      </w:r>
    </w:p>
    <w:p w14:paraId="36F5D422" w14:textId="5842704C" w:rsidR="0008786A" w:rsidRPr="00CB5B8C" w:rsidRDefault="00000000" w:rsidP="004E7EEA">
      <w:pPr>
        <w:pStyle w:val="Default"/>
        <w:jc w:val="center"/>
        <w:rPr>
          <w:rFonts w:ascii="Verdana" w:hAnsi="Verdana" w:cstheme="minorHAnsi"/>
          <w:color w:val="000000" w:themeColor="text1"/>
          <w:sz w:val="18"/>
          <w:szCs w:val="18"/>
          <w:lang w:val="en-US"/>
        </w:rPr>
      </w:pPr>
      <w:hyperlink r:id="rId8" w:history="1">
        <w:r w:rsidR="004E7EEA" w:rsidRPr="00CB5B8C">
          <w:rPr>
            <w:rStyle w:val="Collegamentoipertestuale"/>
            <w:rFonts w:ascii="Verdana" w:hAnsi="Verdana" w:cstheme="minorHAnsi"/>
            <w:color w:val="000000" w:themeColor="text1"/>
            <w:sz w:val="18"/>
            <w:szCs w:val="18"/>
            <w:u w:val="none"/>
            <w:lang w:val="en-US"/>
          </w:rPr>
          <w:t>roberto.cacciamani@irbim.cnr.it</w:t>
        </w:r>
      </w:hyperlink>
    </w:p>
    <w:p w14:paraId="0D8321E7" w14:textId="77777777" w:rsidR="004E7EEA" w:rsidRPr="00BF23AA" w:rsidRDefault="004E7EEA" w:rsidP="004E7EEA">
      <w:pPr>
        <w:pStyle w:val="Default"/>
        <w:jc w:val="center"/>
        <w:rPr>
          <w:rFonts w:ascii="Verdana" w:hAnsi="Verdana" w:cstheme="minorHAnsi"/>
          <w:sz w:val="18"/>
          <w:szCs w:val="18"/>
          <w:lang w:val="en-US"/>
        </w:rPr>
      </w:pPr>
    </w:p>
    <w:p w14:paraId="687A4516" w14:textId="776BCC06" w:rsidR="0008786A" w:rsidRDefault="0058217B" w:rsidP="004E7EEA">
      <w:pPr>
        <w:pStyle w:val="Default"/>
        <w:jc w:val="center"/>
        <w:rPr>
          <w:rFonts w:ascii="Verdana" w:hAnsi="Verdana" w:cstheme="minorHAnsi"/>
          <w:b/>
          <w:bCs/>
          <w:lang w:val="en-US"/>
        </w:rPr>
      </w:pPr>
      <w:r w:rsidRPr="0058217B">
        <w:rPr>
          <w:rFonts w:ascii="Verdana" w:hAnsi="Verdana" w:cstheme="minorHAnsi"/>
          <w:b/>
          <w:bCs/>
          <w:lang w:val="en-US"/>
        </w:rPr>
        <w:t>PRELIMINARY STUDY ON THE EFFECT OF HABITAT CONDITIONS ON REPRODUCTION OF SMALL PELAGIC FISH IN THE MIDDLE ADRIATIC SEA</w:t>
      </w:r>
    </w:p>
    <w:p w14:paraId="750AC3FD" w14:textId="77777777" w:rsidR="004E7EEA" w:rsidRPr="0058217B" w:rsidRDefault="004E7EEA" w:rsidP="004E7EEA">
      <w:pPr>
        <w:pStyle w:val="Default"/>
        <w:jc w:val="center"/>
        <w:rPr>
          <w:rFonts w:ascii="Verdana" w:hAnsi="Verdana" w:cstheme="minorHAnsi"/>
          <w:b/>
          <w:bCs/>
          <w:lang w:val="en-US"/>
        </w:rPr>
      </w:pPr>
    </w:p>
    <w:p w14:paraId="4AAF98E5" w14:textId="4442906B" w:rsidR="00F57C7E" w:rsidRDefault="0058217B" w:rsidP="004E7EEA">
      <w:pPr>
        <w:pStyle w:val="Default"/>
        <w:jc w:val="center"/>
        <w:rPr>
          <w:rFonts w:ascii="Verdana" w:hAnsi="Verdana" w:cstheme="minorHAnsi"/>
          <w:b/>
          <w:bCs/>
          <w:i/>
          <w:iCs/>
          <w:sz w:val="22"/>
          <w:szCs w:val="22"/>
        </w:rPr>
      </w:pPr>
      <w:r w:rsidRPr="0058217B">
        <w:rPr>
          <w:rFonts w:ascii="Verdana" w:hAnsi="Verdana" w:cstheme="minorHAnsi"/>
          <w:b/>
          <w:bCs/>
          <w:i/>
          <w:iCs/>
          <w:sz w:val="22"/>
          <w:szCs w:val="22"/>
        </w:rPr>
        <w:t>STUDIO PRELIMINARE SUGLI EFFETTI D</w:t>
      </w:r>
      <w:r>
        <w:rPr>
          <w:rFonts w:ascii="Verdana" w:hAnsi="Verdana" w:cstheme="minorHAnsi"/>
          <w:b/>
          <w:bCs/>
          <w:i/>
          <w:iCs/>
          <w:sz w:val="22"/>
          <w:szCs w:val="22"/>
        </w:rPr>
        <w:t>ELLE CONDIZIONI DELL’HABITAT SULLA RIPRODUZIONE DEI PICCOLI PELAGICI NEL MEDIO ADRIATICO</w:t>
      </w:r>
    </w:p>
    <w:p w14:paraId="5F68AAB2" w14:textId="77777777" w:rsidR="004E7EEA" w:rsidRPr="0058217B" w:rsidRDefault="004E7EEA" w:rsidP="004E7EEA">
      <w:pPr>
        <w:pStyle w:val="Default"/>
        <w:jc w:val="center"/>
        <w:rPr>
          <w:rFonts w:ascii="Verdana" w:hAnsi="Verdana" w:cstheme="minorHAnsi"/>
          <w:b/>
          <w:bCs/>
          <w:i/>
          <w:iCs/>
          <w:sz w:val="22"/>
          <w:szCs w:val="22"/>
        </w:rPr>
      </w:pPr>
    </w:p>
    <w:p w14:paraId="13EFC5D1" w14:textId="24F76F1B" w:rsidR="005C29E0" w:rsidRDefault="005C29E0" w:rsidP="00FF77DA">
      <w:pPr>
        <w:spacing w:after="0" w:line="240" w:lineRule="auto"/>
        <w:ind w:firstLine="284"/>
        <w:jc w:val="both"/>
        <w:rPr>
          <w:rFonts w:ascii="Verdana" w:hAnsi="Verdana" w:cstheme="minorHAnsi"/>
          <w:i/>
          <w:noProof/>
          <w:sz w:val="18"/>
          <w:szCs w:val="18"/>
          <w:lang w:val="en-GB"/>
        </w:rPr>
      </w:pPr>
      <w:r w:rsidRPr="00010947">
        <w:rPr>
          <w:rFonts w:ascii="Verdana" w:hAnsi="Verdana" w:cstheme="minorHAnsi"/>
          <w:b/>
          <w:bCs/>
          <w:noProof/>
          <w:sz w:val="18"/>
          <w:szCs w:val="18"/>
          <w:lang w:val="en-GB"/>
        </w:rPr>
        <w:t>Abstract</w:t>
      </w:r>
      <w:r w:rsidRPr="00010947">
        <w:rPr>
          <w:rFonts w:ascii="Verdana" w:hAnsi="Verdana" w:cstheme="minorHAnsi"/>
          <w:noProof/>
          <w:sz w:val="18"/>
          <w:szCs w:val="18"/>
          <w:lang w:val="en-GB"/>
        </w:rPr>
        <w:t xml:space="preserve"> </w:t>
      </w:r>
      <w:r w:rsidR="00334FE8">
        <w:rPr>
          <w:rFonts w:ascii="Verdana" w:hAnsi="Verdana" w:cstheme="minorHAnsi"/>
          <w:noProof/>
          <w:sz w:val="18"/>
          <w:szCs w:val="18"/>
          <w:lang w:val="en-GB"/>
        </w:rPr>
        <w:t>–</w:t>
      </w:r>
      <w:r w:rsidRPr="00010947">
        <w:rPr>
          <w:rFonts w:ascii="Verdana" w:hAnsi="Verdana" w:cstheme="minorHAnsi"/>
          <w:noProof/>
          <w:sz w:val="18"/>
          <w:szCs w:val="18"/>
          <w:lang w:val="en-GB"/>
        </w:rPr>
        <w:t xml:space="preserve"> </w:t>
      </w:r>
      <w:r w:rsidR="003F1618" w:rsidRPr="003F1618">
        <w:rPr>
          <w:rFonts w:ascii="Verdana" w:hAnsi="Verdana" w:cstheme="minorHAnsi"/>
          <w:i/>
          <w:noProof/>
          <w:sz w:val="18"/>
          <w:szCs w:val="18"/>
          <w:lang w:val="en-GB"/>
        </w:rPr>
        <w:t>Th</w:t>
      </w:r>
      <w:r w:rsidR="00320951">
        <w:rPr>
          <w:rFonts w:ascii="Verdana" w:hAnsi="Verdana" w:cstheme="minorHAnsi"/>
          <w:i/>
          <w:noProof/>
          <w:sz w:val="18"/>
          <w:szCs w:val="18"/>
          <w:lang w:val="en-GB"/>
        </w:rPr>
        <w:t>is study aims</w:t>
      </w:r>
      <w:r w:rsidR="003F1618" w:rsidRPr="003F1618">
        <w:rPr>
          <w:rFonts w:ascii="Verdana" w:hAnsi="Verdana" w:cstheme="minorHAnsi"/>
          <w:i/>
          <w:noProof/>
          <w:sz w:val="18"/>
          <w:szCs w:val="18"/>
          <w:lang w:val="en-GB"/>
        </w:rPr>
        <w:t xml:space="preserve"> </w:t>
      </w:r>
      <w:r w:rsidR="00FF77DA" w:rsidRPr="00FF77DA">
        <w:rPr>
          <w:rFonts w:ascii="Verdana" w:hAnsi="Verdana" w:cstheme="minorHAnsi"/>
          <w:i/>
          <w:noProof/>
          <w:sz w:val="18"/>
          <w:szCs w:val="18"/>
          <w:lang w:val="en-GB"/>
        </w:rPr>
        <w:t xml:space="preserve">to describe the reproductive cycle of small pelagic fish in the Central Adriatic </w:t>
      </w:r>
      <w:r w:rsidR="00ED4FDC">
        <w:rPr>
          <w:rFonts w:ascii="Verdana" w:hAnsi="Verdana" w:cstheme="minorHAnsi"/>
          <w:i/>
          <w:noProof/>
          <w:sz w:val="18"/>
          <w:szCs w:val="18"/>
          <w:lang w:val="en-GB"/>
        </w:rPr>
        <w:t>Sea</w:t>
      </w:r>
      <w:r w:rsidR="00FF77DA" w:rsidRPr="00FF77DA">
        <w:rPr>
          <w:rFonts w:ascii="Verdana" w:hAnsi="Verdana" w:cstheme="minorHAnsi"/>
          <w:i/>
          <w:noProof/>
          <w:sz w:val="18"/>
          <w:szCs w:val="18"/>
          <w:lang w:val="en-GB"/>
        </w:rPr>
        <w:t xml:space="preserve"> and investigate if environmental factors influence intra- and inter-annual reproductive trait variations.</w:t>
      </w:r>
      <w:r w:rsidR="00FF77DA">
        <w:rPr>
          <w:rFonts w:ascii="Verdana" w:hAnsi="Verdana" w:cstheme="minorHAnsi"/>
          <w:i/>
          <w:noProof/>
          <w:sz w:val="18"/>
          <w:szCs w:val="18"/>
          <w:lang w:val="en-GB"/>
        </w:rPr>
        <w:t xml:space="preserve"> </w:t>
      </w:r>
      <w:r w:rsidR="003D4776" w:rsidRPr="0034676F">
        <w:rPr>
          <w:rFonts w:ascii="Verdana" w:hAnsi="Verdana" w:cstheme="minorHAnsi"/>
          <w:i/>
          <w:noProof/>
          <w:sz w:val="18"/>
          <w:szCs w:val="18"/>
          <w:lang w:val="en-GB"/>
        </w:rPr>
        <w:t xml:space="preserve">Biological data were collected from mid-water pelagic trawl commercial catches landed in Ancona in 3 </w:t>
      </w:r>
      <w:r w:rsidR="00FF77DA">
        <w:rPr>
          <w:rFonts w:ascii="Verdana" w:hAnsi="Verdana" w:cstheme="minorHAnsi"/>
          <w:i/>
          <w:noProof/>
          <w:sz w:val="18"/>
          <w:szCs w:val="18"/>
          <w:lang w:val="en-GB"/>
        </w:rPr>
        <w:t xml:space="preserve">different </w:t>
      </w:r>
      <w:r w:rsidR="003D4776" w:rsidRPr="0034676F">
        <w:rPr>
          <w:rFonts w:ascii="Verdana" w:hAnsi="Verdana" w:cstheme="minorHAnsi"/>
          <w:i/>
          <w:noProof/>
          <w:sz w:val="18"/>
          <w:szCs w:val="18"/>
          <w:lang w:val="en-GB"/>
        </w:rPr>
        <w:t>ye</w:t>
      </w:r>
      <w:r w:rsidR="00B34CB6">
        <w:rPr>
          <w:rFonts w:ascii="Verdana" w:hAnsi="Verdana" w:cstheme="minorHAnsi"/>
          <w:i/>
          <w:noProof/>
          <w:sz w:val="18"/>
          <w:szCs w:val="18"/>
          <w:lang w:val="en-GB"/>
        </w:rPr>
        <w:t>a</w:t>
      </w:r>
      <w:r w:rsidR="003D4776" w:rsidRPr="0034676F">
        <w:rPr>
          <w:rFonts w:ascii="Verdana" w:hAnsi="Verdana" w:cstheme="minorHAnsi"/>
          <w:i/>
          <w:noProof/>
          <w:sz w:val="18"/>
          <w:szCs w:val="18"/>
          <w:lang w:val="en-GB"/>
        </w:rPr>
        <w:t xml:space="preserve">rs </w:t>
      </w:r>
      <w:r w:rsidR="00CB08E5" w:rsidRPr="0034676F">
        <w:rPr>
          <w:rFonts w:ascii="Verdana" w:hAnsi="Verdana" w:cstheme="minorHAnsi"/>
          <w:i/>
          <w:noProof/>
          <w:sz w:val="18"/>
          <w:szCs w:val="18"/>
          <w:lang w:val="en-GB"/>
        </w:rPr>
        <w:t>(2001, 2011, 2022).</w:t>
      </w:r>
      <w:r w:rsidR="007A5B6A">
        <w:rPr>
          <w:rFonts w:ascii="Verdana" w:hAnsi="Verdana" w:cstheme="minorHAnsi"/>
          <w:i/>
          <w:noProof/>
          <w:sz w:val="18"/>
          <w:szCs w:val="18"/>
          <w:lang w:val="en-GB"/>
        </w:rPr>
        <w:t xml:space="preserve"> </w:t>
      </w:r>
      <w:r w:rsidR="007A5B6A" w:rsidRPr="007A5B6A">
        <w:rPr>
          <w:rFonts w:ascii="Verdana" w:hAnsi="Verdana" w:cstheme="minorHAnsi"/>
          <w:i/>
          <w:noProof/>
          <w:sz w:val="18"/>
          <w:szCs w:val="18"/>
          <w:lang w:val="en-GB"/>
        </w:rPr>
        <w:t xml:space="preserve">Environmental data were obtained from </w:t>
      </w:r>
      <w:r w:rsidR="00320951">
        <w:rPr>
          <w:rFonts w:ascii="Verdana" w:hAnsi="Verdana" w:cstheme="minorHAnsi"/>
          <w:i/>
          <w:noProof/>
          <w:sz w:val="18"/>
          <w:szCs w:val="18"/>
          <w:lang w:val="en-GB"/>
        </w:rPr>
        <w:t xml:space="preserve">the </w:t>
      </w:r>
      <w:r w:rsidR="007A5B6A" w:rsidRPr="007A5B6A">
        <w:rPr>
          <w:rFonts w:ascii="Verdana" w:hAnsi="Verdana" w:cstheme="minorHAnsi"/>
          <w:i/>
          <w:noProof/>
          <w:sz w:val="18"/>
          <w:szCs w:val="18"/>
          <w:lang w:val="en-GB"/>
        </w:rPr>
        <w:t>Copernicus Marine Environment Monitoring Service.</w:t>
      </w:r>
      <w:r w:rsidR="00CB08E5" w:rsidRPr="0034676F">
        <w:rPr>
          <w:rFonts w:ascii="Verdana" w:hAnsi="Verdana" w:cstheme="minorHAnsi"/>
          <w:i/>
          <w:noProof/>
          <w:sz w:val="18"/>
          <w:szCs w:val="18"/>
          <w:lang w:val="en-GB"/>
        </w:rPr>
        <w:t xml:space="preserve"> Results </w:t>
      </w:r>
      <w:r w:rsidR="00674746">
        <w:rPr>
          <w:rFonts w:ascii="Verdana" w:hAnsi="Verdana" w:cstheme="minorHAnsi"/>
          <w:i/>
          <w:noProof/>
          <w:sz w:val="18"/>
          <w:szCs w:val="18"/>
          <w:lang w:val="en-GB"/>
        </w:rPr>
        <w:t>showed</w:t>
      </w:r>
      <w:r w:rsidR="00CB08E5" w:rsidRPr="0034676F">
        <w:rPr>
          <w:rFonts w:ascii="Verdana" w:hAnsi="Verdana" w:cstheme="minorHAnsi"/>
          <w:i/>
          <w:noProof/>
          <w:sz w:val="18"/>
          <w:szCs w:val="18"/>
          <w:lang w:val="en-GB"/>
        </w:rPr>
        <w:t xml:space="preserve"> that anchovy and sardine spawning intensity, </w:t>
      </w:r>
      <w:r w:rsidR="003221A1">
        <w:rPr>
          <w:rFonts w:ascii="Verdana" w:hAnsi="Verdana" w:cstheme="minorHAnsi"/>
          <w:i/>
          <w:noProof/>
          <w:sz w:val="18"/>
          <w:szCs w:val="18"/>
          <w:lang w:val="en-GB"/>
        </w:rPr>
        <w:t>denoted</w:t>
      </w:r>
      <w:r w:rsidR="00CB08E5" w:rsidRPr="0034676F">
        <w:rPr>
          <w:rFonts w:ascii="Verdana" w:hAnsi="Verdana" w:cstheme="minorHAnsi"/>
          <w:i/>
          <w:noProof/>
          <w:sz w:val="18"/>
          <w:szCs w:val="18"/>
          <w:lang w:val="en-GB"/>
        </w:rPr>
        <w:t xml:space="preserve"> by </w:t>
      </w:r>
      <w:r w:rsidR="00320951">
        <w:rPr>
          <w:rFonts w:ascii="Verdana" w:hAnsi="Verdana" w:cstheme="minorHAnsi"/>
          <w:i/>
          <w:noProof/>
          <w:sz w:val="18"/>
          <w:szCs w:val="18"/>
          <w:lang w:val="en-GB"/>
        </w:rPr>
        <w:t xml:space="preserve">the </w:t>
      </w:r>
      <w:r w:rsidR="00CB08E5" w:rsidRPr="0034676F">
        <w:rPr>
          <w:rFonts w:ascii="Verdana" w:hAnsi="Verdana" w:cstheme="minorHAnsi"/>
          <w:i/>
          <w:noProof/>
          <w:sz w:val="18"/>
          <w:szCs w:val="18"/>
          <w:lang w:val="en-GB"/>
        </w:rPr>
        <w:t xml:space="preserve">gonadosomatic index, did not </w:t>
      </w:r>
      <w:r w:rsidR="00F01402">
        <w:rPr>
          <w:rFonts w:ascii="Verdana" w:hAnsi="Verdana" w:cstheme="minorHAnsi"/>
          <w:i/>
          <w:noProof/>
          <w:sz w:val="18"/>
          <w:szCs w:val="18"/>
          <w:lang w:val="en-GB"/>
        </w:rPr>
        <w:t>exhibit</w:t>
      </w:r>
      <w:r w:rsidR="00CB08E5" w:rsidRPr="0034676F">
        <w:rPr>
          <w:rFonts w:ascii="Verdana" w:hAnsi="Verdana" w:cstheme="minorHAnsi"/>
          <w:i/>
          <w:noProof/>
          <w:sz w:val="18"/>
          <w:szCs w:val="18"/>
          <w:lang w:val="en-GB"/>
        </w:rPr>
        <w:t xml:space="preserve"> any inter-annual changes.</w:t>
      </w:r>
      <w:r w:rsidR="00DC3961" w:rsidRPr="0034676F">
        <w:rPr>
          <w:rFonts w:ascii="Verdana" w:hAnsi="Verdana" w:cstheme="minorHAnsi"/>
          <w:i/>
          <w:noProof/>
          <w:sz w:val="18"/>
          <w:szCs w:val="18"/>
          <w:lang w:val="en-GB"/>
        </w:rPr>
        <w:t xml:space="preserve"> </w:t>
      </w:r>
      <w:r w:rsidR="00F01402">
        <w:rPr>
          <w:rFonts w:ascii="Verdana" w:hAnsi="Verdana" w:cstheme="minorHAnsi"/>
          <w:i/>
          <w:noProof/>
          <w:sz w:val="18"/>
          <w:szCs w:val="18"/>
          <w:lang w:val="en-GB"/>
        </w:rPr>
        <w:t>Regarding s</w:t>
      </w:r>
      <w:r w:rsidR="00F01402" w:rsidRPr="001878E2">
        <w:rPr>
          <w:rFonts w:ascii="Verdana" w:hAnsi="Verdana" w:cstheme="minorHAnsi"/>
          <w:i/>
          <w:noProof/>
          <w:sz w:val="18"/>
          <w:szCs w:val="18"/>
          <w:lang w:val="en-GB"/>
        </w:rPr>
        <w:t>ardine</w:t>
      </w:r>
      <w:r w:rsidR="00F01402">
        <w:rPr>
          <w:rFonts w:ascii="Verdana" w:hAnsi="Verdana" w:cstheme="minorHAnsi"/>
          <w:i/>
          <w:noProof/>
          <w:sz w:val="18"/>
          <w:szCs w:val="18"/>
          <w:lang w:val="en-GB"/>
        </w:rPr>
        <w:t xml:space="preserve">, the negative correlation between </w:t>
      </w:r>
      <w:r w:rsidR="001878E2" w:rsidRPr="001878E2">
        <w:rPr>
          <w:rFonts w:ascii="Verdana" w:hAnsi="Verdana" w:cstheme="minorHAnsi"/>
          <w:i/>
          <w:noProof/>
          <w:sz w:val="18"/>
          <w:szCs w:val="18"/>
          <w:lang w:val="en-GB"/>
        </w:rPr>
        <w:t xml:space="preserve">gonadal development </w:t>
      </w:r>
      <w:r w:rsidR="00F01402">
        <w:rPr>
          <w:rFonts w:ascii="Verdana" w:hAnsi="Verdana" w:cstheme="minorHAnsi"/>
          <w:i/>
          <w:noProof/>
          <w:sz w:val="18"/>
          <w:szCs w:val="18"/>
          <w:lang w:val="en-GB"/>
        </w:rPr>
        <w:t xml:space="preserve">and </w:t>
      </w:r>
      <w:r w:rsidR="001878E2" w:rsidRPr="001878E2">
        <w:rPr>
          <w:rFonts w:ascii="Verdana" w:hAnsi="Verdana" w:cstheme="minorHAnsi"/>
          <w:i/>
          <w:noProof/>
          <w:sz w:val="18"/>
          <w:szCs w:val="18"/>
          <w:lang w:val="en-GB"/>
        </w:rPr>
        <w:t xml:space="preserve">temperature </w:t>
      </w:r>
      <w:r w:rsidR="00A376C6">
        <w:rPr>
          <w:rFonts w:ascii="Verdana" w:hAnsi="Verdana" w:cstheme="minorHAnsi"/>
          <w:i/>
          <w:noProof/>
          <w:sz w:val="18"/>
          <w:szCs w:val="18"/>
          <w:lang w:val="en-GB"/>
        </w:rPr>
        <w:t>confirm</w:t>
      </w:r>
      <w:r w:rsidR="003F1618">
        <w:rPr>
          <w:rFonts w:ascii="Verdana" w:hAnsi="Verdana" w:cstheme="minorHAnsi"/>
          <w:i/>
          <w:noProof/>
          <w:sz w:val="18"/>
          <w:szCs w:val="18"/>
          <w:lang w:val="en-GB"/>
        </w:rPr>
        <w:t>s</w:t>
      </w:r>
      <w:r w:rsidR="001878E2" w:rsidRPr="001878E2">
        <w:rPr>
          <w:rFonts w:ascii="Verdana" w:hAnsi="Verdana" w:cstheme="minorHAnsi"/>
          <w:i/>
          <w:noProof/>
          <w:sz w:val="18"/>
          <w:szCs w:val="18"/>
          <w:lang w:val="en-GB"/>
        </w:rPr>
        <w:t xml:space="preserve"> </w:t>
      </w:r>
      <w:r w:rsidR="00320951">
        <w:rPr>
          <w:rFonts w:ascii="Verdana" w:hAnsi="Verdana" w:cstheme="minorHAnsi"/>
          <w:i/>
          <w:noProof/>
          <w:sz w:val="18"/>
          <w:szCs w:val="18"/>
          <w:lang w:val="en-GB"/>
        </w:rPr>
        <w:t>its</w:t>
      </w:r>
      <w:r w:rsidR="001878E2" w:rsidRPr="001878E2">
        <w:rPr>
          <w:rFonts w:ascii="Verdana" w:hAnsi="Verdana" w:cstheme="minorHAnsi"/>
          <w:i/>
          <w:noProof/>
          <w:sz w:val="18"/>
          <w:szCs w:val="18"/>
          <w:lang w:val="en-GB"/>
        </w:rPr>
        <w:t xml:space="preserve"> preference for cold waters to spawn. Conversely, a positive correlation with chlorophyll a suggests a reproductive strategy to ensure food availability for juvenile stages.</w:t>
      </w:r>
      <w:r w:rsidR="0034676F">
        <w:rPr>
          <w:rFonts w:ascii="Verdana" w:hAnsi="Verdana" w:cstheme="minorHAnsi"/>
          <w:noProof/>
          <w:sz w:val="18"/>
          <w:szCs w:val="18"/>
          <w:lang w:val="en-GB"/>
        </w:rPr>
        <w:t xml:space="preserve"> </w:t>
      </w:r>
      <w:r w:rsidR="00A376C6" w:rsidRPr="00A376C6">
        <w:rPr>
          <w:rFonts w:ascii="Verdana" w:hAnsi="Verdana" w:cstheme="minorHAnsi"/>
          <w:i/>
          <w:noProof/>
          <w:sz w:val="18"/>
          <w:szCs w:val="18"/>
          <w:lang w:val="en-GB"/>
        </w:rPr>
        <w:t>These are the outcomes of a preliminary study</w:t>
      </w:r>
      <w:r w:rsidR="00A376C6">
        <w:rPr>
          <w:rFonts w:ascii="Verdana" w:hAnsi="Verdana" w:cstheme="minorHAnsi"/>
          <w:i/>
          <w:noProof/>
          <w:sz w:val="18"/>
          <w:szCs w:val="18"/>
          <w:lang w:val="en-GB"/>
        </w:rPr>
        <w:t>;</w:t>
      </w:r>
      <w:r w:rsidR="00572E67" w:rsidRPr="000F5C69">
        <w:rPr>
          <w:rFonts w:ascii="Verdana" w:hAnsi="Verdana" w:cstheme="minorHAnsi"/>
          <w:i/>
          <w:noProof/>
          <w:sz w:val="18"/>
          <w:szCs w:val="18"/>
          <w:lang w:val="en-GB"/>
        </w:rPr>
        <w:t xml:space="preserve"> f</w:t>
      </w:r>
      <w:r w:rsidR="0034676F" w:rsidRPr="000F5C69">
        <w:rPr>
          <w:rFonts w:ascii="Verdana" w:hAnsi="Verdana" w:cstheme="minorHAnsi"/>
          <w:i/>
          <w:noProof/>
          <w:sz w:val="18"/>
          <w:szCs w:val="18"/>
          <w:lang w:val="en-GB"/>
        </w:rPr>
        <w:t xml:space="preserve">urther analysis on a </w:t>
      </w:r>
      <w:r w:rsidR="00572E67" w:rsidRPr="000F5C69">
        <w:rPr>
          <w:rFonts w:ascii="Verdana" w:hAnsi="Verdana" w:cstheme="minorHAnsi"/>
          <w:i/>
          <w:noProof/>
          <w:sz w:val="18"/>
          <w:szCs w:val="18"/>
          <w:lang w:val="en-GB"/>
        </w:rPr>
        <w:t xml:space="preserve">longer time series </w:t>
      </w:r>
      <w:r w:rsidR="001878E2">
        <w:rPr>
          <w:rFonts w:ascii="Verdana" w:hAnsi="Verdana" w:cstheme="minorHAnsi"/>
          <w:i/>
          <w:noProof/>
          <w:sz w:val="18"/>
          <w:szCs w:val="18"/>
          <w:lang w:val="en-GB"/>
        </w:rPr>
        <w:t>could</w:t>
      </w:r>
      <w:r w:rsidR="00572E67" w:rsidRPr="000F5C69">
        <w:rPr>
          <w:rFonts w:ascii="Verdana" w:hAnsi="Verdana" w:cstheme="minorHAnsi"/>
          <w:i/>
          <w:noProof/>
          <w:sz w:val="18"/>
          <w:szCs w:val="18"/>
          <w:lang w:val="en-GB"/>
        </w:rPr>
        <w:t xml:space="preserve"> help to deepen the effect</w:t>
      </w:r>
      <w:r w:rsidR="006E4F68">
        <w:rPr>
          <w:rFonts w:ascii="Verdana" w:hAnsi="Verdana" w:cstheme="minorHAnsi"/>
          <w:i/>
          <w:noProof/>
          <w:sz w:val="18"/>
          <w:szCs w:val="18"/>
          <w:lang w:val="en-GB"/>
        </w:rPr>
        <w:t>s</w:t>
      </w:r>
      <w:r w:rsidR="00572E67" w:rsidRPr="000F5C69">
        <w:rPr>
          <w:rFonts w:ascii="Verdana" w:hAnsi="Verdana" w:cstheme="minorHAnsi"/>
          <w:i/>
          <w:noProof/>
          <w:sz w:val="18"/>
          <w:szCs w:val="18"/>
          <w:lang w:val="en-GB"/>
        </w:rPr>
        <w:t xml:space="preserve"> of habitat conditions on reproduction of small pelagic</w:t>
      </w:r>
      <w:r w:rsidR="00ED4FDC">
        <w:rPr>
          <w:rFonts w:ascii="Verdana" w:hAnsi="Verdana" w:cstheme="minorHAnsi"/>
          <w:i/>
          <w:noProof/>
          <w:sz w:val="18"/>
          <w:szCs w:val="18"/>
          <w:lang w:val="en-GB"/>
        </w:rPr>
        <w:t xml:space="preserve">s </w:t>
      </w:r>
      <w:r w:rsidR="00572E67" w:rsidRPr="000F5C69">
        <w:rPr>
          <w:rFonts w:ascii="Verdana" w:hAnsi="Verdana" w:cstheme="minorHAnsi"/>
          <w:i/>
          <w:noProof/>
          <w:sz w:val="18"/>
          <w:szCs w:val="18"/>
          <w:lang w:val="en-GB"/>
        </w:rPr>
        <w:t>in the Adriatic Sea.</w:t>
      </w:r>
      <w:r w:rsidR="0034676F" w:rsidRPr="000F5C69">
        <w:rPr>
          <w:rFonts w:ascii="Verdana" w:hAnsi="Verdana" w:cstheme="minorHAnsi"/>
          <w:i/>
          <w:noProof/>
          <w:sz w:val="18"/>
          <w:szCs w:val="18"/>
          <w:lang w:val="en-GB"/>
        </w:rPr>
        <w:t xml:space="preserve"> </w:t>
      </w:r>
    </w:p>
    <w:p w14:paraId="77946CB1" w14:textId="77777777" w:rsidR="004E7EEA" w:rsidRPr="000F5C69" w:rsidRDefault="004E7EEA" w:rsidP="004E7EEA">
      <w:pPr>
        <w:spacing w:after="0" w:line="240" w:lineRule="auto"/>
        <w:ind w:firstLine="284"/>
        <w:jc w:val="both"/>
        <w:rPr>
          <w:rFonts w:ascii="Verdana" w:hAnsi="Verdana" w:cstheme="minorHAnsi"/>
          <w:i/>
          <w:noProof/>
          <w:sz w:val="18"/>
          <w:szCs w:val="18"/>
          <w:lang w:val="en-GB"/>
        </w:rPr>
      </w:pPr>
    </w:p>
    <w:p w14:paraId="7B336BA6" w14:textId="141AC547" w:rsidR="00010947" w:rsidRPr="004E7EEA" w:rsidRDefault="00010947" w:rsidP="004E7EEA">
      <w:pPr>
        <w:spacing w:after="0" w:line="240" w:lineRule="auto"/>
        <w:jc w:val="both"/>
        <w:rPr>
          <w:rFonts w:ascii="Verdana" w:hAnsi="Verdana" w:cstheme="minorHAnsi"/>
          <w:i/>
          <w:iCs/>
          <w:noProof/>
          <w:sz w:val="18"/>
          <w:szCs w:val="18"/>
          <w:lang w:val="en-GB"/>
        </w:rPr>
      </w:pPr>
      <w:r w:rsidRPr="004E7EEA">
        <w:rPr>
          <w:rFonts w:ascii="Verdana" w:hAnsi="Verdana" w:cstheme="minorHAnsi"/>
          <w:b/>
          <w:bCs/>
          <w:i/>
          <w:iCs/>
          <w:noProof/>
          <w:sz w:val="18"/>
          <w:szCs w:val="18"/>
          <w:lang w:val="en-GB"/>
        </w:rPr>
        <w:t>Key</w:t>
      </w:r>
      <w:r w:rsidR="004E7EEA" w:rsidRPr="004E7EEA">
        <w:rPr>
          <w:rFonts w:ascii="Verdana" w:hAnsi="Verdana" w:cstheme="minorHAnsi"/>
          <w:b/>
          <w:bCs/>
          <w:i/>
          <w:iCs/>
          <w:noProof/>
          <w:sz w:val="18"/>
          <w:szCs w:val="18"/>
          <w:lang w:val="en-GB"/>
        </w:rPr>
        <w:t>-</w:t>
      </w:r>
      <w:r w:rsidRPr="004E7EEA">
        <w:rPr>
          <w:rFonts w:ascii="Verdana" w:hAnsi="Verdana" w:cstheme="minorHAnsi"/>
          <w:b/>
          <w:bCs/>
          <w:i/>
          <w:iCs/>
          <w:noProof/>
          <w:sz w:val="18"/>
          <w:szCs w:val="18"/>
          <w:lang w:val="en-GB"/>
        </w:rPr>
        <w:t>words</w:t>
      </w:r>
      <w:r w:rsidRPr="004E7EEA">
        <w:rPr>
          <w:rFonts w:ascii="Verdana" w:hAnsi="Verdana" w:cstheme="minorHAnsi"/>
          <w:i/>
          <w:iCs/>
          <w:noProof/>
          <w:sz w:val="18"/>
          <w:szCs w:val="18"/>
          <w:lang w:val="en-GB"/>
        </w:rPr>
        <w:t xml:space="preserve">: </w:t>
      </w:r>
      <w:r w:rsidR="00DF1671" w:rsidRPr="004E7EEA">
        <w:rPr>
          <w:rFonts w:ascii="Verdana" w:hAnsi="Verdana" w:cstheme="minorHAnsi"/>
          <w:i/>
          <w:iCs/>
          <w:noProof/>
          <w:sz w:val="18"/>
          <w:szCs w:val="18"/>
          <w:lang w:val="en-GB"/>
        </w:rPr>
        <w:t>Small pelagic fish</w:t>
      </w:r>
      <w:r w:rsidR="006B4F70" w:rsidRPr="004E7EEA">
        <w:rPr>
          <w:rFonts w:ascii="Verdana" w:hAnsi="Verdana" w:cstheme="minorHAnsi"/>
          <w:i/>
          <w:iCs/>
          <w:noProof/>
          <w:sz w:val="18"/>
          <w:szCs w:val="18"/>
          <w:lang w:val="en-GB"/>
        </w:rPr>
        <w:t xml:space="preserve">, </w:t>
      </w:r>
      <w:r w:rsidR="00DF1671" w:rsidRPr="004E7EEA">
        <w:rPr>
          <w:rFonts w:ascii="Verdana" w:hAnsi="Verdana" w:cstheme="minorHAnsi"/>
          <w:i/>
          <w:iCs/>
          <w:noProof/>
          <w:sz w:val="18"/>
          <w:szCs w:val="18"/>
          <w:lang w:val="en-GB"/>
        </w:rPr>
        <w:t>G</w:t>
      </w:r>
      <w:r w:rsidR="006B4F70" w:rsidRPr="004E7EEA">
        <w:rPr>
          <w:rFonts w:ascii="Verdana" w:hAnsi="Verdana" w:cstheme="minorHAnsi"/>
          <w:i/>
          <w:iCs/>
          <w:noProof/>
          <w:sz w:val="18"/>
          <w:szCs w:val="18"/>
          <w:lang w:val="en-GB"/>
        </w:rPr>
        <w:t xml:space="preserve">onadosomatic </w:t>
      </w:r>
      <w:r w:rsidR="00DB28C3" w:rsidRPr="004E7EEA">
        <w:rPr>
          <w:rFonts w:ascii="Verdana" w:hAnsi="Verdana" w:cstheme="minorHAnsi"/>
          <w:i/>
          <w:iCs/>
          <w:noProof/>
          <w:sz w:val="18"/>
          <w:szCs w:val="18"/>
          <w:lang w:val="en-GB"/>
        </w:rPr>
        <w:t>I</w:t>
      </w:r>
      <w:r w:rsidR="006B4F70" w:rsidRPr="004E7EEA">
        <w:rPr>
          <w:rFonts w:ascii="Verdana" w:hAnsi="Verdana" w:cstheme="minorHAnsi"/>
          <w:i/>
          <w:iCs/>
          <w:noProof/>
          <w:sz w:val="18"/>
          <w:szCs w:val="18"/>
          <w:lang w:val="en-GB"/>
        </w:rPr>
        <w:t xml:space="preserve">ndex, </w:t>
      </w:r>
      <w:r w:rsidR="00DF1671" w:rsidRPr="004E7EEA">
        <w:rPr>
          <w:rFonts w:ascii="Verdana" w:hAnsi="Verdana" w:cstheme="minorHAnsi"/>
          <w:i/>
          <w:iCs/>
          <w:noProof/>
          <w:sz w:val="18"/>
          <w:szCs w:val="18"/>
          <w:lang w:val="en-GB"/>
        </w:rPr>
        <w:t>Sea Surface Temperature</w:t>
      </w:r>
      <w:r w:rsidR="006B4F70" w:rsidRPr="004E7EEA">
        <w:rPr>
          <w:rFonts w:ascii="Verdana" w:hAnsi="Verdana" w:cstheme="minorHAnsi"/>
          <w:i/>
          <w:iCs/>
          <w:noProof/>
          <w:sz w:val="18"/>
          <w:szCs w:val="18"/>
          <w:lang w:val="en-GB"/>
        </w:rPr>
        <w:t xml:space="preserve">, </w:t>
      </w:r>
      <w:r w:rsidR="00DF1671" w:rsidRPr="004E7EEA">
        <w:rPr>
          <w:rFonts w:ascii="Verdana" w:hAnsi="Verdana" w:cstheme="minorHAnsi"/>
          <w:i/>
          <w:iCs/>
          <w:noProof/>
          <w:sz w:val="18"/>
          <w:szCs w:val="18"/>
          <w:lang w:val="en-GB"/>
        </w:rPr>
        <w:t>C</w:t>
      </w:r>
      <w:r w:rsidR="006B4F70" w:rsidRPr="004E7EEA">
        <w:rPr>
          <w:rFonts w:ascii="Verdana" w:hAnsi="Verdana" w:cstheme="minorHAnsi"/>
          <w:i/>
          <w:iCs/>
          <w:noProof/>
          <w:sz w:val="18"/>
          <w:szCs w:val="18"/>
          <w:lang w:val="en-GB"/>
        </w:rPr>
        <w:t>hlorophyll a</w:t>
      </w:r>
      <w:r w:rsidR="00DF1671" w:rsidRPr="004E7EEA">
        <w:rPr>
          <w:rFonts w:ascii="Verdana" w:hAnsi="Verdana" w:cstheme="minorHAnsi"/>
          <w:i/>
          <w:iCs/>
          <w:noProof/>
          <w:sz w:val="18"/>
          <w:szCs w:val="18"/>
          <w:lang w:val="en-GB"/>
        </w:rPr>
        <w:t xml:space="preserve">, Adriatic </w:t>
      </w:r>
      <w:r w:rsidR="008F48A7" w:rsidRPr="004E7EEA">
        <w:rPr>
          <w:rFonts w:ascii="Verdana" w:hAnsi="Verdana" w:cstheme="minorHAnsi"/>
          <w:i/>
          <w:iCs/>
          <w:noProof/>
          <w:sz w:val="18"/>
          <w:szCs w:val="18"/>
          <w:lang w:val="en-GB"/>
        </w:rPr>
        <w:t>S</w:t>
      </w:r>
      <w:r w:rsidR="00DF1671" w:rsidRPr="004E7EEA">
        <w:rPr>
          <w:rFonts w:ascii="Verdana" w:hAnsi="Verdana" w:cstheme="minorHAnsi"/>
          <w:i/>
          <w:iCs/>
          <w:noProof/>
          <w:sz w:val="18"/>
          <w:szCs w:val="18"/>
          <w:lang w:val="en-GB"/>
        </w:rPr>
        <w:t>ea</w:t>
      </w:r>
      <w:r w:rsidR="006B4F70" w:rsidRPr="004E7EEA">
        <w:rPr>
          <w:rFonts w:ascii="Verdana" w:hAnsi="Verdana" w:cstheme="minorHAnsi"/>
          <w:i/>
          <w:iCs/>
          <w:noProof/>
          <w:sz w:val="18"/>
          <w:szCs w:val="18"/>
          <w:lang w:val="en-GB"/>
        </w:rPr>
        <w:t>.</w:t>
      </w:r>
    </w:p>
    <w:p w14:paraId="73DCCF1C" w14:textId="77777777" w:rsidR="004E7EEA" w:rsidRDefault="004E7EEA" w:rsidP="004E7EEA">
      <w:pPr>
        <w:spacing w:after="0" w:line="240" w:lineRule="auto"/>
        <w:jc w:val="both"/>
        <w:rPr>
          <w:rFonts w:ascii="Verdana" w:hAnsi="Verdana" w:cstheme="minorHAnsi"/>
          <w:b/>
          <w:bCs/>
          <w:noProof/>
          <w:lang w:val="en-GB"/>
        </w:rPr>
      </w:pPr>
    </w:p>
    <w:p w14:paraId="399E6F1B" w14:textId="217823BD" w:rsidR="00983705" w:rsidRDefault="005C29E0" w:rsidP="004E7EEA">
      <w:pPr>
        <w:spacing w:after="0" w:line="240" w:lineRule="auto"/>
        <w:ind w:firstLine="284"/>
        <w:jc w:val="both"/>
        <w:rPr>
          <w:rFonts w:ascii="Verdana" w:hAnsi="Verdana" w:cstheme="minorHAnsi"/>
          <w:noProof/>
          <w:lang w:val="en-GB"/>
        </w:rPr>
      </w:pPr>
      <w:r w:rsidRPr="00FA5C39">
        <w:rPr>
          <w:rFonts w:ascii="Verdana" w:hAnsi="Verdana" w:cstheme="minorHAnsi"/>
          <w:b/>
          <w:bCs/>
          <w:noProof/>
          <w:lang w:val="en-GB"/>
        </w:rPr>
        <w:t>Introduction</w:t>
      </w:r>
      <w:r w:rsidRPr="00FA5C39">
        <w:rPr>
          <w:rFonts w:ascii="Verdana" w:hAnsi="Verdana" w:cstheme="minorHAnsi"/>
          <w:noProof/>
          <w:lang w:val="en-GB"/>
        </w:rPr>
        <w:t xml:space="preserve"> - </w:t>
      </w:r>
      <w:bookmarkStart w:id="0" w:name="_Hlk148697756"/>
      <w:r w:rsidR="00E66F8A" w:rsidRPr="00E66F8A">
        <w:rPr>
          <w:rFonts w:ascii="Verdana" w:hAnsi="Verdana" w:cstheme="minorHAnsi"/>
          <w:noProof/>
          <w:lang w:val="en-GB"/>
        </w:rPr>
        <w:t>Small pelagic fish</w:t>
      </w:r>
      <w:r w:rsidR="000E2841">
        <w:rPr>
          <w:rFonts w:ascii="Verdana" w:hAnsi="Verdana" w:cstheme="minorHAnsi"/>
          <w:noProof/>
          <w:lang w:val="en-GB"/>
        </w:rPr>
        <w:t>,</w:t>
      </w:r>
      <w:r w:rsidR="000E2841" w:rsidRPr="000E2841">
        <w:rPr>
          <w:lang w:val="en-US"/>
        </w:rPr>
        <w:t xml:space="preserve"> </w:t>
      </w:r>
      <w:r w:rsidR="000E2841" w:rsidRPr="000E2841">
        <w:rPr>
          <w:rFonts w:ascii="Verdana" w:hAnsi="Verdana" w:cstheme="minorHAnsi"/>
          <w:noProof/>
          <w:lang w:val="en-GB"/>
        </w:rPr>
        <w:t>European anchovy (</w:t>
      </w:r>
      <w:r w:rsidR="000E2841" w:rsidRPr="000E2841">
        <w:rPr>
          <w:rFonts w:ascii="Verdana" w:hAnsi="Verdana" w:cstheme="minorHAnsi"/>
          <w:i/>
          <w:noProof/>
          <w:lang w:val="en-GB"/>
        </w:rPr>
        <w:t>Engraulis encrasicolus</w:t>
      </w:r>
      <w:r w:rsidR="000E2841" w:rsidRPr="000E2841">
        <w:rPr>
          <w:rFonts w:ascii="Verdana" w:hAnsi="Verdana" w:cstheme="minorHAnsi"/>
          <w:noProof/>
          <w:lang w:val="en-GB"/>
        </w:rPr>
        <w:t>,</w:t>
      </w:r>
      <w:r w:rsidR="000E2841" w:rsidRPr="000E2841">
        <w:rPr>
          <w:lang w:val="en-US"/>
        </w:rPr>
        <w:t xml:space="preserve"> </w:t>
      </w:r>
      <w:r w:rsidR="000E2841" w:rsidRPr="000E2841">
        <w:rPr>
          <w:rFonts w:ascii="Verdana" w:hAnsi="Verdana" w:cstheme="minorHAnsi"/>
          <w:noProof/>
          <w:lang w:val="en-GB"/>
        </w:rPr>
        <w:t>Linnaeus, 1758) and European sardine (</w:t>
      </w:r>
      <w:r w:rsidR="000E2841" w:rsidRPr="000E2841">
        <w:rPr>
          <w:rFonts w:ascii="Verdana" w:hAnsi="Verdana" w:cstheme="minorHAnsi"/>
          <w:i/>
          <w:noProof/>
          <w:lang w:val="en-GB"/>
        </w:rPr>
        <w:t>Sardina pilchardus</w:t>
      </w:r>
      <w:r w:rsidR="000E2841" w:rsidRPr="000E2841">
        <w:rPr>
          <w:rFonts w:ascii="Verdana" w:hAnsi="Verdana" w:cstheme="minorHAnsi"/>
          <w:noProof/>
          <w:lang w:val="en-GB"/>
        </w:rPr>
        <w:t xml:space="preserve">, Walbaum, 1792), </w:t>
      </w:r>
      <w:r w:rsidR="00E66F8A" w:rsidRPr="00E66F8A">
        <w:rPr>
          <w:rFonts w:ascii="Verdana" w:hAnsi="Verdana" w:cstheme="minorHAnsi"/>
          <w:noProof/>
          <w:lang w:val="en-GB"/>
        </w:rPr>
        <w:t xml:space="preserve">are </w:t>
      </w:r>
      <w:r w:rsidR="00D0134E">
        <w:rPr>
          <w:rFonts w:ascii="Verdana" w:hAnsi="Verdana" w:cstheme="minorHAnsi"/>
          <w:noProof/>
          <w:lang w:val="en-GB"/>
        </w:rPr>
        <w:t>among</w:t>
      </w:r>
      <w:r w:rsidR="00E66F8A" w:rsidRPr="00E66F8A">
        <w:rPr>
          <w:rFonts w:ascii="Verdana" w:hAnsi="Verdana" w:cstheme="minorHAnsi"/>
          <w:noProof/>
          <w:lang w:val="en-GB"/>
        </w:rPr>
        <w:t xml:space="preserve"> the most important commercial species of the Adriatic Sea </w:t>
      </w:r>
      <w:bookmarkEnd w:id="0"/>
      <w:r w:rsidR="00E66F8A" w:rsidRPr="00E66F8A">
        <w:rPr>
          <w:rFonts w:ascii="Verdana" w:hAnsi="Verdana" w:cstheme="minorHAnsi"/>
          <w:noProof/>
          <w:lang w:val="en-GB"/>
        </w:rPr>
        <w:t xml:space="preserve">(Santojanni </w:t>
      </w:r>
      <w:r w:rsidR="00E66F8A" w:rsidRPr="00661D48">
        <w:rPr>
          <w:rFonts w:ascii="Verdana" w:hAnsi="Verdana" w:cstheme="minorHAnsi"/>
          <w:i/>
          <w:noProof/>
          <w:lang w:val="en-GB"/>
        </w:rPr>
        <w:t>et al</w:t>
      </w:r>
      <w:r w:rsidR="00E66F8A" w:rsidRPr="00E66F8A">
        <w:rPr>
          <w:rFonts w:ascii="Verdana" w:hAnsi="Verdana" w:cstheme="minorHAnsi"/>
          <w:noProof/>
          <w:lang w:val="en-GB"/>
        </w:rPr>
        <w:t>., 2006). In 2020, they a</w:t>
      </w:r>
      <w:r w:rsidR="00D0134E">
        <w:rPr>
          <w:rFonts w:ascii="Verdana" w:hAnsi="Verdana" w:cstheme="minorHAnsi"/>
          <w:noProof/>
          <w:lang w:val="en-GB"/>
        </w:rPr>
        <w:t>ccounted</w:t>
      </w:r>
      <w:r w:rsidR="00E66F8A" w:rsidRPr="00E66F8A">
        <w:rPr>
          <w:rFonts w:ascii="Verdana" w:hAnsi="Verdana" w:cstheme="minorHAnsi"/>
          <w:noProof/>
          <w:lang w:val="en-GB"/>
        </w:rPr>
        <w:t xml:space="preserve"> for 34% of total catches in GSA17 and 18 (</w:t>
      </w:r>
      <w:r w:rsidR="00031D69">
        <w:rPr>
          <w:rFonts w:ascii="Verdana" w:hAnsi="Verdana" w:cstheme="minorHAnsi"/>
          <w:noProof/>
          <w:lang w:val="en-GB"/>
        </w:rPr>
        <w:t xml:space="preserve">source </w:t>
      </w:r>
      <w:r w:rsidR="00E66F8A" w:rsidRPr="00E66F8A">
        <w:rPr>
          <w:rFonts w:ascii="Verdana" w:hAnsi="Verdana" w:cstheme="minorHAnsi"/>
          <w:noProof/>
          <w:lang w:val="en-GB"/>
        </w:rPr>
        <w:t>EU</w:t>
      </w:r>
      <w:r w:rsidR="00B92032">
        <w:rPr>
          <w:rFonts w:ascii="Verdana" w:hAnsi="Verdana" w:cstheme="minorHAnsi"/>
          <w:noProof/>
          <w:lang w:val="en-GB"/>
        </w:rPr>
        <w:t>-</w:t>
      </w:r>
      <w:r w:rsidR="00E66F8A" w:rsidRPr="00E66F8A">
        <w:rPr>
          <w:rFonts w:ascii="Verdana" w:hAnsi="Verdana" w:cstheme="minorHAnsi"/>
          <w:noProof/>
          <w:lang w:val="en-GB"/>
        </w:rPr>
        <w:t>DCF</w:t>
      </w:r>
      <w:r w:rsidR="00B92032">
        <w:rPr>
          <w:rFonts w:ascii="Verdana" w:hAnsi="Verdana" w:cstheme="minorHAnsi"/>
          <w:noProof/>
          <w:lang w:val="en-GB"/>
        </w:rPr>
        <w:t xml:space="preserve"> database 2020; </w:t>
      </w:r>
      <w:r w:rsidR="00B92032" w:rsidRPr="00B92032">
        <w:rPr>
          <w:rFonts w:ascii="Verdana" w:hAnsi="Verdana" w:cstheme="minorHAnsi"/>
          <w:noProof/>
          <w:lang w:val="en-GB"/>
        </w:rPr>
        <w:t>European Commission (EC), 2017</w:t>
      </w:r>
      <w:r w:rsidR="00E66F8A" w:rsidRPr="00E66F8A">
        <w:rPr>
          <w:rFonts w:ascii="Verdana" w:hAnsi="Verdana" w:cstheme="minorHAnsi"/>
          <w:noProof/>
          <w:lang w:val="en-GB"/>
        </w:rPr>
        <w:t xml:space="preserve">). Their importance is not only related to the </w:t>
      </w:r>
      <w:bookmarkStart w:id="1" w:name="_Hlk148697858"/>
      <w:r w:rsidR="00E66F8A" w:rsidRPr="00E66F8A">
        <w:rPr>
          <w:rFonts w:ascii="Verdana" w:hAnsi="Verdana" w:cstheme="minorHAnsi"/>
          <w:noProof/>
          <w:lang w:val="en-GB"/>
        </w:rPr>
        <w:t>socio-economic value</w:t>
      </w:r>
      <w:r w:rsidR="00B34CB6">
        <w:rPr>
          <w:rFonts w:ascii="Verdana" w:hAnsi="Verdana" w:cstheme="minorHAnsi"/>
          <w:noProof/>
          <w:lang w:val="en-GB"/>
        </w:rPr>
        <w:t>,</w:t>
      </w:r>
      <w:r w:rsidR="00E66F8A" w:rsidRPr="00E66F8A">
        <w:rPr>
          <w:rFonts w:ascii="Verdana" w:hAnsi="Verdana" w:cstheme="minorHAnsi"/>
          <w:noProof/>
          <w:lang w:val="en-GB"/>
        </w:rPr>
        <w:t xml:space="preserve"> but also to the ecological role played in marine ecosystems</w:t>
      </w:r>
      <w:bookmarkEnd w:id="1"/>
      <w:r w:rsidR="00E66F8A" w:rsidRPr="00E66F8A">
        <w:rPr>
          <w:rFonts w:ascii="Verdana" w:hAnsi="Verdana" w:cstheme="minorHAnsi"/>
          <w:noProof/>
          <w:lang w:val="en-GB"/>
        </w:rPr>
        <w:t xml:space="preserve">: they exert a top-down control on zooplankton and bottom-up control on top predators, acting like “wasp-waist” species (Cury </w:t>
      </w:r>
      <w:r w:rsidR="00E66F8A" w:rsidRPr="00661D48">
        <w:rPr>
          <w:rFonts w:ascii="Verdana" w:hAnsi="Verdana" w:cstheme="minorHAnsi"/>
          <w:i/>
          <w:noProof/>
          <w:lang w:val="en-GB"/>
        </w:rPr>
        <w:t>et al</w:t>
      </w:r>
      <w:r w:rsidR="00E66F8A" w:rsidRPr="00E66F8A">
        <w:rPr>
          <w:rFonts w:ascii="Verdana" w:hAnsi="Verdana" w:cstheme="minorHAnsi"/>
          <w:noProof/>
          <w:lang w:val="en-GB"/>
        </w:rPr>
        <w:t>., 200</w:t>
      </w:r>
      <w:r w:rsidR="003A4C30">
        <w:rPr>
          <w:rFonts w:ascii="Verdana" w:hAnsi="Verdana" w:cstheme="minorHAnsi"/>
          <w:noProof/>
          <w:lang w:val="en-GB"/>
        </w:rPr>
        <w:t>0</w:t>
      </w:r>
      <w:r w:rsidR="00FC29BD">
        <w:rPr>
          <w:rFonts w:ascii="Verdana" w:hAnsi="Verdana" w:cstheme="minorHAnsi"/>
          <w:noProof/>
          <w:lang w:val="en-GB"/>
        </w:rPr>
        <w:t xml:space="preserve">, </w:t>
      </w:r>
      <w:r w:rsidR="00FC29BD" w:rsidRPr="00CF0F82">
        <w:rPr>
          <w:rFonts w:ascii="Verdana" w:hAnsi="Verdana" w:cstheme="minorHAnsi"/>
          <w:noProof/>
          <w:lang w:val="en-GB"/>
        </w:rPr>
        <w:t>Caballero-Huertas</w:t>
      </w:r>
      <w:r w:rsidR="00FC29BD">
        <w:rPr>
          <w:rFonts w:ascii="Verdana" w:hAnsi="Verdana" w:cstheme="minorHAnsi"/>
          <w:noProof/>
          <w:lang w:val="en-GB"/>
        </w:rPr>
        <w:t xml:space="preserve"> </w:t>
      </w:r>
      <w:r w:rsidR="00FC29BD" w:rsidRPr="00661D48">
        <w:rPr>
          <w:rFonts w:ascii="Verdana" w:hAnsi="Verdana" w:cstheme="minorHAnsi"/>
          <w:i/>
          <w:noProof/>
          <w:lang w:val="en-GB"/>
        </w:rPr>
        <w:t>et al</w:t>
      </w:r>
      <w:r w:rsidR="00FC29BD">
        <w:rPr>
          <w:rFonts w:ascii="Verdana" w:hAnsi="Verdana" w:cstheme="minorHAnsi"/>
          <w:noProof/>
          <w:lang w:val="en-GB"/>
        </w:rPr>
        <w:t>., 2023</w:t>
      </w:r>
      <w:r w:rsidR="00E66F8A" w:rsidRPr="00E66F8A">
        <w:rPr>
          <w:rFonts w:ascii="Verdana" w:hAnsi="Verdana" w:cstheme="minorHAnsi"/>
          <w:noProof/>
          <w:lang w:val="en-GB"/>
        </w:rPr>
        <w:t>). Their short life span and great susceptibility to environmental variability and physical processes caused, in recent decades, strong fluctuations of biomass of these species</w:t>
      </w:r>
      <w:r w:rsidR="000E0F7D">
        <w:rPr>
          <w:rFonts w:ascii="Verdana" w:hAnsi="Verdana" w:cstheme="minorHAnsi"/>
          <w:noProof/>
          <w:lang w:val="en-GB"/>
        </w:rPr>
        <w:t xml:space="preserve"> </w:t>
      </w:r>
      <w:r w:rsidR="000E0F7D" w:rsidRPr="00E66F8A">
        <w:rPr>
          <w:rFonts w:ascii="Verdana" w:hAnsi="Verdana" w:cstheme="minorHAnsi"/>
          <w:noProof/>
          <w:lang w:val="en-GB"/>
        </w:rPr>
        <w:t xml:space="preserve">(Brosset </w:t>
      </w:r>
      <w:r w:rsidR="000E0F7D" w:rsidRPr="00661D48">
        <w:rPr>
          <w:rFonts w:ascii="Verdana" w:hAnsi="Verdana" w:cstheme="minorHAnsi"/>
          <w:i/>
          <w:noProof/>
          <w:lang w:val="en-GB"/>
        </w:rPr>
        <w:t>et al</w:t>
      </w:r>
      <w:r w:rsidR="000E0F7D" w:rsidRPr="00E66F8A">
        <w:rPr>
          <w:rFonts w:ascii="Verdana" w:hAnsi="Verdana" w:cstheme="minorHAnsi"/>
          <w:noProof/>
          <w:lang w:val="en-GB"/>
        </w:rPr>
        <w:t>., 2017)</w:t>
      </w:r>
      <w:r w:rsidR="00E66F8A" w:rsidRPr="00E66F8A">
        <w:rPr>
          <w:rFonts w:ascii="Verdana" w:hAnsi="Verdana" w:cstheme="minorHAnsi"/>
          <w:noProof/>
          <w:lang w:val="en-GB"/>
        </w:rPr>
        <w:t>. In recent years</w:t>
      </w:r>
      <w:r w:rsidR="00B34CB6">
        <w:rPr>
          <w:rFonts w:ascii="Verdana" w:hAnsi="Verdana" w:cstheme="minorHAnsi"/>
          <w:noProof/>
          <w:lang w:val="en-GB"/>
        </w:rPr>
        <w:t>,</w:t>
      </w:r>
      <w:r w:rsidR="00E66F8A" w:rsidRPr="00E66F8A">
        <w:rPr>
          <w:rFonts w:ascii="Verdana" w:hAnsi="Verdana" w:cstheme="minorHAnsi"/>
          <w:noProof/>
          <w:lang w:val="en-GB"/>
        </w:rPr>
        <w:t xml:space="preserve"> </w:t>
      </w:r>
      <w:r w:rsidR="00B34CB6" w:rsidRPr="00E66F8A">
        <w:rPr>
          <w:rFonts w:ascii="Verdana" w:hAnsi="Verdana" w:cstheme="minorHAnsi"/>
          <w:noProof/>
          <w:lang w:val="en-GB"/>
        </w:rPr>
        <w:t xml:space="preserve">a general decrease of small pelagic fish stocks </w:t>
      </w:r>
      <w:r w:rsidR="00E66F8A" w:rsidRPr="00E66F8A">
        <w:rPr>
          <w:rFonts w:ascii="Verdana" w:hAnsi="Verdana" w:cstheme="minorHAnsi"/>
          <w:noProof/>
          <w:lang w:val="en-GB"/>
        </w:rPr>
        <w:t>ha</w:t>
      </w:r>
      <w:r w:rsidR="00B34CB6">
        <w:rPr>
          <w:rFonts w:ascii="Verdana" w:hAnsi="Verdana" w:cstheme="minorHAnsi"/>
          <w:noProof/>
          <w:lang w:val="en-GB"/>
        </w:rPr>
        <w:t>s</w:t>
      </w:r>
      <w:r w:rsidR="00E66F8A" w:rsidRPr="00E66F8A">
        <w:rPr>
          <w:rFonts w:ascii="Verdana" w:hAnsi="Verdana" w:cstheme="minorHAnsi"/>
          <w:noProof/>
          <w:lang w:val="en-GB"/>
        </w:rPr>
        <w:t xml:space="preserve"> been observed in various parts of the Mediterranean</w:t>
      </w:r>
      <w:r w:rsidR="000E0F7D">
        <w:rPr>
          <w:rFonts w:ascii="Verdana" w:hAnsi="Verdana" w:cstheme="minorHAnsi"/>
          <w:noProof/>
          <w:lang w:val="en-GB"/>
        </w:rPr>
        <w:t xml:space="preserve"> </w:t>
      </w:r>
      <w:r w:rsidR="000E0F7D" w:rsidRPr="00E66F8A">
        <w:rPr>
          <w:rFonts w:ascii="Verdana" w:hAnsi="Verdana" w:cstheme="minorHAnsi"/>
          <w:noProof/>
          <w:lang w:val="en-GB"/>
        </w:rPr>
        <w:t>(</w:t>
      </w:r>
      <w:r w:rsidR="000E0F7D" w:rsidRPr="00CF0F82">
        <w:rPr>
          <w:rFonts w:ascii="Verdana" w:hAnsi="Verdana" w:cstheme="minorHAnsi"/>
          <w:noProof/>
          <w:lang w:val="en-GB"/>
        </w:rPr>
        <w:t>Caballero-Huertas</w:t>
      </w:r>
      <w:r w:rsidR="000E0F7D">
        <w:rPr>
          <w:rFonts w:ascii="Verdana" w:hAnsi="Verdana" w:cstheme="minorHAnsi"/>
          <w:noProof/>
          <w:lang w:val="en-GB"/>
        </w:rPr>
        <w:t xml:space="preserve"> </w:t>
      </w:r>
      <w:r w:rsidR="000E0F7D" w:rsidRPr="00661D48">
        <w:rPr>
          <w:rFonts w:ascii="Verdana" w:hAnsi="Verdana" w:cstheme="minorHAnsi"/>
          <w:i/>
          <w:noProof/>
          <w:lang w:val="en-GB"/>
        </w:rPr>
        <w:t>et al</w:t>
      </w:r>
      <w:r w:rsidR="000E0F7D">
        <w:rPr>
          <w:rFonts w:ascii="Verdana" w:hAnsi="Verdana" w:cstheme="minorHAnsi"/>
          <w:noProof/>
          <w:lang w:val="en-GB"/>
        </w:rPr>
        <w:t>., 2023</w:t>
      </w:r>
      <w:r w:rsidR="000E0F7D" w:rsidRPr="00E66F8A">
        <w:rPr>
          <w:rFonts w:ascii="Verdana" w:hAnsi="Verdana" w:cstheme="minorHAnsi"/>
          <w:noProof/>
          <w:lang w:val="en-GB"/>
        </w:rPr>
        <w:t>)</w:t>
      </w:r>
      <w:r w:rsidR="00E66F8A" w:rsidRPr="00E66F8A">
        <w:rPr>
          <w:rFonts w:ascii="Verdana" w:hAnsi="Verdana" w:cstheme="minorHAnsi"/>
          <w:noProof/>
          <w:lang w:val="en-GB"/>
        </w:rPr>
        <w:t xml:space="preserve">, which led to fishery crisis. The sudden collapse of pelagic fisheries can be attributed to a combination of factors, including </w:t>
      </w:r>
      <w:r w:rsidR="00BE145D">
        <w:rPr>
          <w:rFonts w:ascii="Verdana" w:hAnsi="Verdana" w:cstheme="minorHAnsi"/>
          <w:noProof/>
          <w:lang w:val="en-GB"/>
        </w:rPr>
        <w:t xml:space="preserve">environmental </w:t>
      </w:r>
      <w:r w:rsidR="00E66F8A" w:rsidRPr="00E66F8A">
        <w:rPr>
          <w:rFonts w:ascii="Verdana" w:hAnsi="Verdana" w:cstheme="minorHAnsi"/>
          <w:noProof/>
          <w:lang w:val="en-GB"/>
        </w:rPr>
        <w:t xml:space="preserve">influence, interactions with other species, and overexploitation. </w:t>
      </w:r>
      <w:r w:rsidR="000F6128" w:rsidRPr="000F6128">
        <w:rPr>
          <w:rFonts w:ascii="Verdana" w:hAnsi="Verdana" w:cstheme="minorHAnsi"/>
          <w:noProof/>
          <w:lang w:val="en-GB"/>
        </w:rPr>
        <w:t xml:space="preserve">Notably, </w:t>
      </w:r>
      <w:r w:rsidR="000F6128">
        <w:rPr>
          <w:rFonts w:ascii="Verdana" w:hAnsi="Verdana" w:cstheme="minorHAnsi"/>
          <w:noProof/>
          <w:lang w:val="en-GB"/>
        </w:rPr>
        <w:t>environmental variability</w:t>
      </w:r>
      <w:r w:rsidR="000F6128" w:rsidRPr="000F6128">
        <w:rPr>
          <w:rFonts w:ascii="Verdana" w:hAnsi="Verdana" w:cstheme="minorHAnsi"/>
          <w:noProof/>
          <w:lang w:val="en-GB"/>
        </w:rPr>
        <w:t xml:space="preserve"> often exerts an influence on the life history traits of fish, such as size</w:t>
      </w:r>
      <w:r w:rsidR="00BE145D">
        <w:rPr>
          <w:rFonts w:ascii="Verdana" w:hAnsi="Verdana" w:cstheme="minorHAnsi"/>
          <w:noProof/>
          <w:lang w:val="en-GB"/>
        </w:rPr>
        <w:t>/growth</w:t>
      </w:r>
      <w:r w:rsidR="000F6128" w:rsidRPr="000F6128">
        <w:rPr>
          <w:rFonts w:ascii="Verdana" w:hAnsi="Verdana" w:cstheme="minorHAnsi"/>
          <w:noProof/>
          <w:lang w:val="en-GB"/>
        </w:rPr>
        <w:t xml:space="preserve">, somatic condition, and fecundity. These </w:t>
      </w:r>
      <w:r w:rsidR="00BE145D">
        <w:rPr>
          <w:rFonts w:ascii="Verdana" w:hAnsi="Verdana" w:cstheme="minorHAnsi"/>
          <w:noProof/>
          <w:lang w:val="en-GB"/>
        </w:rPr>
        <w:t>aspects</w:t>
      </w:r>
      <w:r w:rsidR="00BE145D" w:rsidRPr="000F6128">
        <w:rPr>
          <w:rFonts w:ascii="Verdana" w:hAnsi="Verdana" w:cstheme="minorHAnsi"/>
          <w:noProof/>
          <w:lang w:val="en-GB"/>
        </w:rPr>
        <w:t xml:space="preserve"> </w:t>
      </w:r>
      <w:r w:rsidR="000F6128" w:rsidRPr="000F6128">
        <w:rPr>
          <w:rFonts w:ascii="Verdana" w:hAnsi="Verdana" w:cstheme="minorHAnsi"/>
          <w:noProof/>
          <w:lang w:val="en-GB"/>
        </w:rPr>
        <w:t xml:space="preserve">are extensively </w:t>
      </w:r>
      <w:r w:rsidR="000F6128">
        <w:rPr>
          <w:rFonts w:ascii="Verdana" w:hAnsi="Verdana" w:cstheme="minorHAnsi"/>
          <w:noProof/>
          <w:lang w:val="en-GB"/>
        </w:rPr>
        <w:t>studied</w:t>
      </w:r>
      <w:r w:rsidR="000F6128" w:rsidRPr="000F6128">
        <w:rPr>
          <w:rFonts w:ascii="Verdana" w:hAnsi="Verdana" w:cstheme="minorHAnsi"/>
          <w:noProof/>
          <w:lang w:val="en-GB"/>
        </w:rPr>
        <w:t xml:space="preserve"> as they </w:t>
      </w:r>
      <w:r w:rsidR="000F6128">
        <w:rPr>
          <w:rFonts w:ascii="Verdana" w:hAnsi="Verdana" w:cstheme="minorHAnsi"/>
          <w:noProof/>
          <w:lang w:val="en-GB"/>
        </w:rPr>
        <w:t>p</w:t>
      </w:r>
      <w:r w:rsidR="00BE145D">
        <w:rPr>
          <w:rFonts w:ascii="Verdana" w:hAnsi="Verdana" w:cstheme="minorHAnsi"/>
          <w:noProof/>
          <w:lang w:val="en-GB"/>
        </w:rPr>
        <w:t>lay a relevant role</w:t>
      </w:r>
      <w:r w:rsidR="000F6128" w:rsidRPr="000F6128">
        <w:rPr>
          <w:rFonts w:ascii="Verdana" w:hAnsi="Verdana" w:cstheme="minorHAnsi"/>
          <w:noProof/>
          <w:lang w:val="en-GB"/>
        </w:rPr>
        <w:t xml:space="preserve"> into the dynamics of fish populations</w:t>
      </w:r>
      <w:r w:rsidR="000F6128">
        <w:rPr>
          <w:rFonts w:ascii="Verdana" w:hAnsi="Verdana" w:cstheme="minorHAnsi"/>
          <w:noProof/>
          <w:lang w:val="en-GB"/>
        </w:rPr>
        <w:t xml:space="preserve"> (</w:t>
      </w:r>
      <w:r w:rsidR="000F6128" w:rsidRPr="000F6128">
        <w:rPr>
          <w:rFonts w:ascii="Verdana" w:hAnsi="Verdana" w:cstheme="minorHAnsi"/>
          <w:noProof/>
          <w:lang w:val="en-GB"/>
        </w:rPr>
        <w:t xml:space="preserve">Caballero-Huertas </w:t>
      </w:r>
      <w:r w:rsidR="000F6128" w:rsidRPr="00661D48">
        <w:rPr>
          <w:rFonts w:ascii="Verdana" w:hAnsi="Verdana" w:cstheme="minorHAnsi"/>
          <w:i/>
          <w:noProof/>
          <w:lang w:val="en-GB"/>
        </w:rPr>
        <w:t>et al</w:t>
      </w:r>
      <w:r w:rsidR="000F6128" w:rsidRPr="000F6128">
        <w:rPr>
          <w:rFonts w:ascii="Verdana" w:hAnsi="Verdana" w:cstheme="minorHAnsi"/>
          <w:noProof/>
          <w:lang w:val="en-GB"/>
        </w:rPr>
        <w:t>. 2023</w:t>
      </w:r>
      <w:r w:rsidR="000F6128">
        <w:rPr>
          <w:rFonts w:ascii="Verdana" w:hAnsi="Verdana" w:cstheme="minorHAnsi"/>
          <w:noProof/>
          <w:lang w:val="en-GB"/>
        </w:rPr>
        <w:t>)</w:t>
      </w:r>
      <w:r w:rsidR="000F6128" w:rsidRPr="000F6128">
        <w:rPr>
          <w:rFonts w:ascii="Verdana" w:hAnsi="Verdana" w:cstheme="minorHAnsi"/>
          <w:noProof/>
          <w:lang w:val="en-GB"/>
        </w:rPr>
        <w:t>.</w:t>
      </w:r>
      <w:r w:rsidR="0015263F">
        <w:rPr>
          <w:rFonts w:ascii="Verdana" w:hAnsi="Verdana" w:cstheme="minorHAnsi"/>
          <w:noProof/>
          <w:lang w:val="en-GB"/>
        </w:rPr>
        <w:t xml:space="preserve"> In this regard</w:t>
      </w:r>
      <w:r w:rsidR="00BE145D">
        <w:rPr>
          <w:rFonts w:ascii="Verdana" w:hAnsi="Verdana" w:cstheme="minorHAnsi"/>
          <w:noProof/>
          <w:lang w:val="en-GB"/>
        </w:rPr>
        <w:t>,</w:t>
      </w:r>
      <w:r w:rsidR="000F6128">
        <w:rPr>
          <w:rFonts w:ascii="Verdana" w:hAnsi="Verdana" w:cstheme="minorHAnsi"/>
          <w:noProof/>
          <w:lang w:val="en-GB"/>
        </w:rPr>
        <w:t xml:space="preserve"> </w:t>
      </w:r>
      <w:r w:rsidR="00027703" w:rsidRPr="00027703">
        <w:rPr>
          <w:rFonts w:ascii="Verdana" w:hAnsi="Verdana" w:cstheme="minorHAnsi"/>
          <w:noProof/>
          <w:lang w:val="en-GB"/>
        </w:rPr>
        <w:t>the present study</w:t>
      </w:r>
      <w:r w:rsidR="0015263F">
        <w:rPr>
          <w:rFonts w:ascii="Verdana" w:hAnsi="Verdana" w:cstheme="minorHAnsi"/>
          <w:noProof/>
          <w:lang w:val="en-GB"/>
        </w:rPr>
        <w:t xml:space="preserve"> </w:t>
      </w:r>
      <w:r w:rsidR="008379F3">
        <w:rPr>
          <w:rFonts w:ascii="Verdana" w:hAnsi="Verdana" w:cstheme="minorHAnsi"/>
          <w:noProof/>
          <w:lang w:val="en-GB"/>
        </w:rPr>
        <w:t>aimed</w:t>
      </w:r>
      <w:r w:rsidR="00027703" w:rsidRPr="00027703">
        <w:rPr>
          <w:rFonts w:ascii="Verdana" w:hAnsi="Verdana" w:cstheme="minorHAnsi"/>
          <w:noProof/>
          <w:lang w:val="en-GB"/>
        </w:rPr>
        <w:t xml:space="preserve"> </w:t>
      </w:r>
      <w:r w:rsidR="00574B44">
        <w:rPr>
          <w:rFonts w:ascii="Verdana" w:hAnsi="Verdana" w:cstheme="minorHAnsi"/>
          <w:noProof/>
          <w:lang w:val="en-GB"/>
        </w:rPr>
        <w:t>to</w:t>
      </w:r>
      <w:r w:rsidR="00BE145D">
        <w:rPr>
          <w:rFonts w:ascii="Verdana" w:hAnsi="Verdana" w:cstheme="minorHAnsi"/>
          <w:noProof/>
          <w:lang w:val="en-GB"/>
        </w:rPr>
        <w:t xml:space="preserve"> describ</w:t>
      </w:r>
      <w:r w:rsidR="00574B44">
        <w:rPr>
          <w:rFonts w:ascii="Verdana" w:hAnsi="Verdana" w:cstheme="minorHAnsi"/>
          <w:noProof/>
          <w:lang w:val="en-GB"/>
        </w:rPr>
        <w:t>e</w:t>
      </w:r>
      <w:r w:rsidR="003221A1">
        <w:rPr>
          <w:rFonts w:ascii="Verdana" w:hAnsi="Verdana" w:cstheme="minorHAnsi"/>
          <w:noProof/>
          <w:lang w:val="en-GB"/>
        </w:rPr>
        <w:t xml:space="preserve"> </w:t>
      </w:r>
      <w:r w:rsidR="00027703" w:rsidRPr="00027703">
        <w:rPr>
          <w:rFonts w:ascii="Verdana" w:hAnsi="Verdana" w:cstheme="minorHAnsi"/>
          <w:noProof/>
          <w:lang w:val="en-GB"/>
        </w:rPr>
        <w:t xml:space="preserve">the reproductive cycle of the small pelagic fish </w:t>
      </w:r>
      <w:r w:rsidR="008379F3" w:rsidRPr="00027703">
        <w:rPr>
          <w:rFonts w:ascii="Verdana" w:hAnsi="Verdana" w:cstheme="minorHAnsi"/>
          <w:noProof/>
          <w:lang w:val="en-GB"/>
        </w:rPr>
        <w:t xml:space="preserve">in the </w:t>
      </w:r>
      <w:r w:rsidR="008379F3">
        <w:rPr>
          <w:rFonts w:ascii="Verdana" w:hAnsi="Verdana" w:cstheme="minorHAnsi"/>
          <w:noProof/>
          <w:lang w:val="en-GB"/>
        </w:rPr>
        <w:t>Central</w:t>
      </w:r>
      <w:r w:rsidR="008379F3" w:rsidRPr="00027703">
        <w:rPr>
          <w:rFonts w:ascii="Verdana" w:hAnsi="Verdana" w:cstheme="minorHAnsi"/>
          <w:noProof/>
          <w:lang w:val="en-GB"/>
        </w:rPr>
        <w:t xml:space="preserve"> Adriatic Sea (GSA 17)</w:t>
      </w:r>
      <w:r w:rsidR="008379F3">
        <w:rPr>
          <w:rFonts w:ascii="Verdana" w:hAnsi="Verdana" w:cstheme="minorHAnsi"/>
          <w:noProof/>
          <w:lang w:val="en-GB"/>
        </w:rPr>
        <w:t xml:space="preserve"> </w:t>
      </w:r>
      <w:r w:rsidR="00601A7B">
        <w:rPr>
          <w:rFonts w:ascii="Verdana" w:hAnsi="Verdana" w:cstheme="minorHAnsi"/>
          <w:noProof/>
          <w:lang w:val="en-GB"/>
        </w:rPr>
        <w:t xml:space="preserve">by means of </w:t>
      </w:r>
      <w:r w:rsidR="00C83769">
        <w:rPr>
          <w:rFonts w:ascii="Verdana" w:hAnsi="Verdana" w:cstheme="minorHAnsi"/>
          <w:noProof/>
          <w:lang w:val="en-GB"/>
        </w:rPr>
        <w:t>investigating</w:t>
      </w:r>
      <w:r w:rsidR="00C83769" w:rsidRPr="00027703">
        <w:rPr>
          <w:rFonts w:ascii="Verdana" w:hAnsi="Verdana" w:cstheme="minorHAnsi"/>
          <w:noProof/>
          <w:lang w:val="en-GB"/>
        </w:rPr>
        <w:t xml:space="preserve"> </w:t>
      </w:r>
      <w:r w:rsidR="00027703" w:rsidRPr="00027703">
        <w:rPr>
          <w:rFonts w:ascii="Verdana" w:hAnsi="Verdana" w:cstheme="minorHAnsi"/>
          <w:noProof/>
          <w:lang w:val="en-GB"/>
        </w:rPr>
        <w:t>Gonadosomatic Index (GSI) intra</w:t>
      </w:r>
      <w:r w:rsidR="009D65BB">
        <w:rPr>
          <w:rFonts w:ascii="Verdana" w:hAnsi="Verdana" w:cstheme="minorHAnsi"/>
          <w:noProof/>
          <w:lang w:val="en-GB"/>
        </w:rPr>
        <w:t>-</w:t>
      </w:r>
      <w:r w:rsidR="00027703" w:rsidRPr="00027703">
        <w:rPr>
          <w:rFonts w:ascii="Verdana" w:hAnsi="Verdana" w:cstheme="minorHAnsi"/>
          <w:noProof/>
          <w:lang w:val="en-GB"/>
        </w:rPr>
        <w:t xml:space="preserve"> and inter</w:t>
      </w:r>
      <w:r w:rsidR="009D65BB">
        <w:rPr>
          <w:rFonts w:ascii="Verdana" w:hAnsi="Verdana" w:cstheme="minorHAnsi"/>
          <w:noProof/>
          <w:lang w:val="en-GB"/>
        </w:rPr>
        <w:t>-</w:t>
      </w:r>
      <w:r w:rsidR="00027703" w:rsidRPr="00027703">
        <w:rPr>
          <w:rFonts w:ascii="Verdana" w:hAnsi="Verdana" w:cstheme="minorHAnsi"/>
          <w:noProof/>
          <w:lang w:val="en-GB"/>
        </w:rPr>
        <w:t xml:space="preserve">annual fluctuations and </w:t>
      </w:r>
      <w:r w:rsidR="00601A7B">
        <w:rPr>
          <w:rFonts w:ascii="Verdana" w:hAnsi="Verdana" w:cstheme="minorHAnsi"/>
          <w:noProof/>
          <w:lang w:val="en-GB"/>
        </w:rPr>
        <w:t xml:space="preserve">the possible </w:t>
      </w:r>
      <w:r w:rsidR="008379F3">
        <w:rPr>
          <w:rFonts w:ascii="Verdana" w:hAnsi="Verdana" w:cstheme="minorHAnsi"/>
          <w:noProof/>
          <w:lang w:val="en-GB"/>
        </w:rPr>
        <w:t>role of</w:t>
      </w:r>
      <w:r w:rsidR="00027703" w:rsidRPr="00027703">
        <w:rPr>
          <w:rFonts w:ascii="Verdana" w:hAnsi="Verdana" w:cstheme="minorHAnsi"/>
          <w:noProof/>
          <w:lang w:val="en-GB"/>
        </w:rPr>
        <w:t xml:space="preserve"> environmental </w:t>
      </w:r>
      <w:r w:rsidR="00661D48">
        <w:rPr>
          <w:rFonts w:ascii="Verdana" w:hAnsi="Verdana" w:cstheme="minorHAnsi"/>
          <w:noProof/>
          <w:lang w:val="en-GB"/>
        </w:rPr>
        <w:t>factor</w:t>
      </w:r>
      <w:r w:rsidR="00027703" w:rsidRPr="00027703">
        <w:rPr>
          <w:rFonts w:ascii="Verdana" w:hAnsi="Verdana" w:cstheme="minorHAnsi"/>
          <w:noProof/>
          <w:lang w:val="en-GB"/>
        </w:rPr>
        <w:t>s</w:t>
      </w:r>
      <w:r w:rsidR="00E66F8A" w:rsidRPr="00E66F8A">
        <w:rPr>
          <w:rFonts w:ascii="Verdana" w:hAnsi="Verdana" w:cstheme="minorHAnsi"/>
          <w:noProof/>
          <w:lang w:val="en-GB"/>
        </w:rPr>
        <w:t>.</w:t>
      </w:r>
    </w:p>
    <w:p w14:paraId="092A6DE5" w14:textId="77777777" w:rsidR="004E7EEA" w:rsidRDefault="004E7EEA" w:rsidP="004E7EEA">
      <w:pPr>
        <w:spacing w:after="0" w:line="240" w:lineRule="auto"/>
        <w:ind w:firstLine="284"/>
        <w:jc w:val="both"/>
        <w:rPr>
          <w:rFonts w:ascii="Verdana" w:hAnsi="Verdana" w:cstheme="minorHAnsi"/>
          <w:noProof/>
          <w:lang w:val="en-GB"/>
        </w:rPr>
      </w:pPr>
    </w:p>
    <w:p w14:paraId="0508D235" w14:textId="70B406C9" w:rsidR="00DF1671" w:rsidRDefault="00983705" w:rsidP="004E7EEA">
      <w:pPr>
        <w:spacing w:after="0" w:line="240" w:lineRule="auto"/>
        <w:ind w:firstLine="284"/>
        <w:jc w:val="both"/>
        <w:rPr>
          <w:rFonts w:ascii="Verdana" w:hAnsi="Verdana" w:cstheme="minorHAnsi"/>
          <w:noProof/>
          <w:lang w:val="en-GB"/>
        </w:rPr>
      </w:pPr>
      <w:r w:rsidRPr="00983705">
        <w:rPr>
          <w:rFonts w:ascii="Verdana" w:hAnsi="Verdana" w:cstheme="minorHAnsi"/>
          <w:b/>
          <w:bCs/>
          <w:noProof/>
          <w:lang w:val="en-GB"/>
        </w:rPr>
        <w:t>Materials and methods</w:t>
      </w:r>
      <w:r w:rsidRPr="00983705">
        <w:rPr>
          <w:rFonts w:ascii="Verdana" w:hAnsi="Verdana" w:cstheme="minorHAnsi"/>
          <w:noProof/>
          <w:lang w:val="en-GB"/>
        </w:rPr>
        <w:t xml:space="preserve"> - </w:t>
      </w:r>
      <w:r w:rsidR="00E66F8A" w:rsidRPr="00E66F8A">
        <w:rPr>
          <w:rFonts w:ascii="Verdana" w:hAnsi="Verdana" w:cstheme="minorHAnsi"/>
          <w:noProof/>
          <w:lang w:val="en-GB"/>
        </w:rPr>
        <w:t xml:space="preserve">Biological data were collected monthly </w:t>
      </w:r>
      <w:r w:rsidR="00601A7B">
        <w:rPr>
          <w:rFonts w:ascii="Verdana" w:hAnsi="Verdana" w:cstheme="minorHAnsi"/>
          <w:noProof/>
          <w:lang w:val="en-GB"/>
        </w:rPr>
        <w:t>from</w:t>
      </w:r>
      <w:r w:rsidR="009D65BB" w:rsidRPr="009D65BB">
        <w:rPr>
          <w:rFonts w:ascii="Verdana" w:hAnsi="Verdana" w:cstheme="minorHAnsi"/>
          <w:noProof/>
          <w:lang w:val="en-GB"/>
        </w:rPr>
        <w:t xml:space="preserve"> commercial landings of mid-water pelagic pair trawlers landed in Ancona port</w:t>
      </w:r>
      <w:r w:rsidR="00E66F8A" w:rsidRPr="00E66F8A">
        <w:rPr>
          <w:rFonts w:ascii="Verdana" w:hAnsi="Verdana" w:cstheme="minorHAnsi"/>
          <w:noProof/>
          <w:lang w:val="en-GB"/>
        </w:rPr>
        <w:t xml:space="preserve">. A total of 960 anchovy and 826 sardine samples were </w:t>
      </w:r>
      <w:r w:rsidR="009D65BB">
        <w:rPr>
          <w:rFonts w:ascii="Verdana" w:hAnsi="Verdana" w:cstheme="minorHAnsi"/>
          <w:noProof/>
          <w:lang w:val="en-GB"/>
        </w:rPr>
        <w:t>analysed</w:t>
      </w:r>
      <w:r w:rsidR="00E66F8A" w:rsidRPr="00E66F8A">
        <w:rPr>
          <w:rFonts w:ascii="Verdana" w:hAnsi="Verdana" w:cstheme="minorHAnsi"/>
          <w:noProof/>
          <w:lang w:val="en-GB"/>
        </w:rPr>
        <w:t xml:space="preserve"> monthly in 3 different years over a 21-year</w:t>
      </w:r>
      <w:r w:rsidR="00601A7B">
        <w:rPr>
          <w:rFonts w:ascii="Verdana" w:hAnsi="Verdana" w:cstheme="minorHAnsi"/>
          <w:noProof/>
          <w:lang w:val="en-GB"/>
        </w:rPr>
        <w:t>s</w:t>
      </w:r>
      <w:r w:rsidR="00E66F8A" w:rsidRPr="00E66F8A">
        <w:rPr>
          <w:rFonts w:ascii="Verdana" w:hAnsi="Verdana" w:cstheme="minorHAnsi"/>
          <w:noProof/>
          <w:lang w:val="en-GB"/>
        </w:rPr>
        <w:t xml:space="preserve"> period (2001, 2011, 2022).</w:t>
      </w:r>
      <w:r w:rsidR="00E66F8A">
        <w:rPr>
          <w:rFonts w:ascii="Verdana" w:hAnsi="Verdana" w:cstheme="minorHAnsi"/>
          <w:noProof/>
          <w:lang w:val="en-GB"/>
        </w:rPr>
        <w:t xml:space="preserve"> </w:t>
      </w:r>
      <w:r w:rsidR="009D65BB" w:rsidRPr="009D65BB">
        <w:rPr>
          <w:rFonts w:ascii="Verdana" w:hAnsi="Verdana" w:cstheme="minorHAnsi"/>
          <w:noProof/>
          <w:lang w:val="en-GB"/>
        </w:rPr>
        <w:t xml:space="preserve">The total length (TL, </w:t>
      </w:r>
      <w:r w:rsidR="007F58EC">
        <w:rPr>
          <w:rFonts w:ascii="Verdana" w:hAnsi="Verdana" w:cstheme="minorHAnsi"/>
          <w:noProof/>
          <w:lang w:val="en-GB"/>
        </w:rPr>
        <w:t xml:space="preserve">measured to the </w:t>
      </w:r>
      <w:r w:rsidR="007F58EC" w:rsidRPr="007F58EC">
        <w:rPr>
          <w:rFonts w:ascii="Verdana" w:hAnsi="Verdana" w:cstheme="minorHAnsi"/>
          <w:noProof/>
          <w:lang w:val="en-GB"/>
        </w:rPr>
        <w:t xml:space="preserve">nearest half </w:t>
      </w:r>
      <w:r w:rsidR="007F58EC" w:rsidRPr="007F58EC">
        <w:rPr>
          <w:rFonts w:ascii="Verdana" w:hAnsi="Verdana" w:cstheme="minorHAnsi"/>
          <w:noProof/>
          <w:lang w:val="en-GB"/>
        </w:rPr>
        <w:lastRenderedPageBreak/>
        <w:t>cm</w:t>
      </w:r>
      <w:r w:rsidR="004740CC">
        <w:rPr>
          <w:rFonts w:ascii="Verdana" w:hAnsi="Verdana" w:cstheme="minorHAnsi"/>
          <w:noProof/>
          <w:lang w:val="en-GB"/>
        </w:rPr>
        <w:t xml:space="preserve"> below</w:t>
      </w:r>
      <w:r w:rsidR="009D65BB" w:rsidRPr="009D65BB">
        <w:rPr>
          <w:rFonts w:ascii="Verdana" w:hAnsi="Verdana" w:cstheme="minorHAnsi"/>
          <w:noProof/>
          <w:lang w:val="en-GB"/>
        </w:rPr>
        <w:t>), total body weight (W, 0.1 g accuracy) and gonad weights (WG, 0.001 g accuracy) of each specimen were measured.</w:t>
      </w:r>
      <w:r w:rsidR="009D65BB">
        <w:rPr>
          <w:rFonts w:ascii="Verdana" w:hAnsi="Verdana" w:cstheme="minorHAnsi"/>
          <w:noProof/>
          <w:lang w:val="en-GB"/>
        </w:rPr>
        <w:t xml:space="preserve"> </w:t>
      </w:r>
      <w:r w:rsidR="00DF1671">
        <w:rPr>
          <w:rFonts w:ascii="Verdana" w:hAnsi="Verdana" w:cstheme="minorHAnsi"/>
          <w:noProof/>
          <w:lang w:val="en-GB"/>
        </w:rPr>
        <w:t>S</w:t>
      </w:r>
      <w:r w:rsidR="00E66F8A" w:rsidRPr="00E66F8A">
        <w:rPr>
          <w:rFonts w:ascii="Verdana" w:hAnsi="Verdana" w:cstheme="minorHAnsi"/>
          <w:noProof/>
          <w:lang w:val="en-GB"/>
        </w:rPr>
        <w:t>ex and matur</w:t>
      </w:r>
      <w:r w:rsidR="00DF1671">
        <w:rPr>
          <w:rFonts w:ascii="Verdana" w:hAnsi="Verdana" w:cstheme="minorHAnsi"/>
          <w:noProof/>
          <w:lang w:val="en-GB"/>
        </w:rPr>
        <w:t>ity</w:t>
      </w:r>
      <w:r w:rsidR="00E66F8A" w:rsidRPr="00E66F8A">
        <w:rPr>
          <w:rFonts w:ascii="Verdana" w:hAnsi="Verdana" w:cstheme="minorHAnsi"/>
          <w:noProof/>
          <w:lang w:val="en-GB"/>
        </w:rPr>
        <w:t xml:space="preserve"> stages</w:t>
      </w:r>
      <w:r w:rsidR="00DF1671">
        <w:rPr>
          <w:rFonts w:ascii="Verdana" w:hAnsi="Verdana" w:cstheme="minorHAnsi"/>
          <w:noProof/>
          <w:lang w:val="en-GB"/>
        </w:rPr>
        <w:t xml:space="preserve"> of gonads</w:t>
      </w:r>
      <w:r w:rsidR="00E66F8A" w:rsidRPr="00E66F8A">
        <w:rPr>
          <w:rFonts w:ascii="Verdana" w:hAnsi="Verdana" w:cstheme="minorHAnsi"/>
          <w:noProof/>
          <w:lang w:val="en-GB"/>
        </w:rPr>
        <w:t xml:space="preserve"> were macroscopically evaluated </w:t>
      </w:r>
      <w:r w:rsidR="00DF1671">
        <w:rPr>
          <w:rFonts w:ascii="Verdana" w:hAnsi="Verdana" w:cstheme="minorHAnsi"/>
          <w:noProof/>
          <w:lang w:val="en-GB"/>
        </w:rPr>
        <w:t>according to</w:t>
      </w:r>
      <w:r w:rsidR="00E66F8A" w:rsidRPr="00E66F8A">
        <w:rPr>
          <w:rFonts w:ascii="Verdana" w:hAnsi="Verdana" w:cstheme="minorHAnsi"/>
          <w:noProof/>
          <w:lang w:val="en-GB"/>
        </w:rPr>
        <w:t xml:space="preserve"> ICES maturity scale (</w:t>
      </w:r>
      <w:r w:rsidR="00DF1671" w:rsidRPr="00DF1671">
        <w:rPr>
          <w:rFonts w:ascii="Verdana" w:hAnsi="Verdana" w:cstheme="minorHAnsi"/>
          <w:noProof/>
          <w:lang w:val="en-GB"/>
        </w:rPr>
        <w:t>ICES, 2008</w:t>
      </w:r>
      <w:r w:rsidR="00E66F8A" w:rsidRPr="00E66F8A">
        <w:rPr>
          <w:rFonts w:ascii="Verdana" w:hAnsi="Verdana" w:cstheme="minorHAnsi"/>
          <w:noProof/>
          <w:lang w:val="en-GB"/>
        </w:rPr>
        <w:t>).</w:t>
      </w:r>
      <w:r w:rsidR="00E66F8A">
        <w:rPr>
          <w:rFonts w:ascii="Verdana" w:hAnsi="Verdana" w:cstheme="minorHAnsi"/>
          <w:noProof/>
          <w:lang w:val="en-GB"/>
        </w:rPr>
        <w:t xml:space="preserve"> </w:t>
      </w:r>
      <w:r w:rsidR="00E66F8A" w:rsidRPr="00E66F8A">
        <w:rPr>
          <w:rFonts w:ascii="Verdana" w:hAnsi="Verdana" w:cstheme="minorHAnsi"/>
          <w:noProof/>
          <w:lang w:val="en-GB"/>
        </w:rPr>
        <w:t xml:space="preserve">The reproductive cycle was determined by evaluating the Gonadosomatic Index (GSI) calculated monthly and seasonally, </w:t>
      </w:r>
      <w:r w:rsidR="00DF1671">
        <w:rPr>
          <w:rFonts w:ascii="Verdana" w:hAnsi="Verdana" w:cstheme="minorHAnsi"/>
          <w:noProof/>
          <w:lang w:val="en-GB"/>
        </w:rPr>
        <w:t>according to</w:t>
      </w:r>
      <w:r w:rsidR="00E66F8A" w:rsidRPr="00E66F8A">
        <w:rPr>
          <w:rFonts w:ascii="Verdana" w:hAnsi="Verdana" w:cstheme="minorHAnsi"/>
          <w:noProof/>
          <w:lang w:val="en-GB"/>
        </w:rPr>
        <w:t xml:space="preserve"> the</w:t>
      </w:r>
      <w:r w:rsidR="00DF1671">
        <w:rPr>
          <w:rFonts w:ascii="Verdana" w:hAnsi="Verdana" w:cstheme="minorHAnsi"/>
          <w:noProof/>
          <w:lang w:val="en-GB"/>
        </w:rPr>
        <w:t xml:space="preserve"> following</w:t>
      </w:r>
      <w:r w:rsidR="00E66F8A" w:rsidRPr="00E66F8A">
        <w:rPr>
          <w:rFonts w:ascii="Verdana" w:hAnsi="Verdana" w:cstheme="minorHAnsi"/>
          <w:noProof/>
          <w:lang w:val="en-GB"/>
        </w:rPr>
        <w:t xml:space="preserve"> equation: </w:t>
      </w:r>
    </w:p>
    <w:p w14:paraId="25D7DA8A" w14:textId="22F051BB" w:rsidR="00DF1671" w:rsidRDefault="00E66F8A" w:rsidP="004E7EEA">
      <w:pPr>
        <w:spacing w:after="0" w:line="240" w:lineRule="auto"/>
        <w:jc w:val="both"/>
        <w:rPr>
          <w:rFonts w:ascii="Verdana" w:hAnsi="Verdana" w:cstheme="minorHAnsi"/>
          <w:noProof/>
          <w:lang w:val="en-GB"/>
        </w:rPr>
      </w:pPr>
      <w:r w:rsidRPr="00E66F8A">
        <w:rPr>
          <w:rFonts w:ascii="Verdana" w:hAnsi="Verdana" w:cstheme="minorHAnsi"/>
          <w:noProof/>
          <w:lang w:val="en-GB"/>
        </w:rPr>
        <w:t>GSI = Gonad weight(g)/</w:t>
      </w:r>
      <w:r w:rsidR="00DF1671">
        <w:rPr>
          <w:rFonts w:ascii="Verdana" w:hAnsi="Verdana" w:cstheme="minorHAnsi"/>
          <w:noProof/>
          <w:lang w:val="en-GB"/>
        </w:rPr>
        <w:t>Total body</w:t>
      </w:r>
      <w:r w:rsidRPr="00E66F8A">
        <w:rPr>
          <w:rFonts w:ascii="Verdana" w:hAnsi="Verdana" w:cstheme="minorHAnsi"/>
          <w:noProof/>
          <w:lang w:val="en-GB"/>
        </w:rPr>
        <w:t xml:space="preserve"> weight (g) * 100 (Pacetti </w:t>
      </w:r>
      <w:r w:rsidRPr="00661D48">
        <w:rPr>
          <w:rFonts w:ascii="Verdana" w:hAnsi="Verdana" w:cstheme="minorHAnsi"/>
          <w:i/>
          <w:noProof/>
          <w:lang w:val="en-GB"/>
        </w:rPr>
        <w:t>et al</w:t>
      </w:r>
      <w:r w:rsidRPr="00E66F8A">
        <w:rPr>
          <w:rFonts w:ascii="Verdana" w:hAnsi="Verdana" w:cstheme="minorHAnsi"/>
          <w:noProof/>
          <w:lang w:val="en-GB"/>
        </w:rPr>
        <w:t>., 2013).</w:t>
      </w:r>
      <w:r w:rsidR="00FC29BD">
        <w:rPr>
          <w:rFonts w:ascii="Verdana" w:hAnsi="Verdana" w:cstheme="minorHAnsi"/>
          <w:noProof/>
          <w:lang w:val="en-GB"/>
        </w:rPr>
        <w:t xml:space="preserve"> </w:t>
      </w:r>
    </w:p>
    <w:p w14:paraId="1C2E35ED" w14:textId="2F9A0D27" w:rsidR="00983705" w:rsidRDefault="00E66F8A" w:rsidP="004E7EEA">
      <w:pPr>
        <w:spacing w:after="0" w:line="240" w:lineRule="auto"/>
        <w:jc w:val="both"/>
        <w:rPr>
          <w:rFonts w:ascii="Verdana" w:hAnsi="Verdana" w:cstheme="minorHAnsi"/>
          <w:noProof/>
          <w:lang w:val="en-GB"/>
        </w:rPr>
      </w:pPr>
      <w:r w:rsidRPr="00E66F8A">
        <w:rPr>
          <w:rFonts w:ascii="Verdana" w:hAnsi="Verdana" w:cstheme="minorHAnsi"/>
          <w:noProof/>
          <w:lang w:val="en-GB"/>
        </w:rPr>
        <w:t>Mean monthly chlorophyll a concentration (</w:t>
      </w:r>
      <w:r w:rsidR="00DB72DA">
        <w:rPr>
          <w:rFonts w:ascii="Verdana" w:hAnsi="Verdana" w:cstheme="minorHAnsi"/>
          <w:noProof/>
          <w:lang w:val="en-GB"/>
        </w:rPr>
        <w:t xml:space="preserve">chla, </w:t>
      </w:r>
      <w:r w:rsidRPr="00E66F8A">
        <w:rPr>
          <w:rFonts w:ascii="Verdana" w:hAnsi="Verdana" w:cstheme="minorHAnsi"/>
          <w:noProof/>
          <w:lang w:val="en-GB"/>
        </w:rPr>
        <w:t>mg/m³) and Sea Surface Temperature (SST, °C) w</w:t>
      </w:r>
      <w:r w:rsidR="00320951">
        <w:rPr>
          <w:rFonts w:ascii="Verdana" w:hAnsi="Verdana" w:cstheme="minorHAnsi"/>
          <w:noProof/>
          <w:lang w:val="en-GB"/>
        </w:rPr>
        <w:t>ere</w:t>
      </w:r>
      <w:r w:rsidRPr="00E66F8A">
        <w:rPr>
          <w:rFonts w:ascii="Verdana" w:hAnsi="Verdana" w:cstheme="minorHAnsi"/>
          <w:noProof/>
          <w:lang w:val="en-GB"/>
        </w:rPr>
        <w:t xml:space="preserve"> provided by the Copernicus Marine Environment Monitoring Service (CMEMS program, https://data.marine.copernicus.eu/products). Kendall </w:t>
      </w:r>
      <w:r w:rsidR="00B21AA0">
        <w:rPr>
          <w:rFonts w:ascii="Verdana" w:hAnsi="Verdana" w:cstheme="minorHAnsi"/>
          <w:noProof/>
          <w:lang w:val="en-GB"/>
        </w:rPr>
        <w:t xml:space="preserve">rank </w:t>
      </w:r>
      <w:r w:rsidRPr="00E66F8A">
        <w:rPr>
          <w:rFonts w:ascii="Verdana" w:hAnsi="Verdana" w:cstheme="minorHAnsi"/>
          <w:noProof/>
          <w:lang w:val="en-GB"/>
        </w:rPr>
        <w:t xml:space="preserve">correlation coefficient (τ) was calculated to check the collinearity among GSI and </w:t>
      </w:r>
      <w:r w:rsidR="00DF1671">
        <w:rPr>
          <w:rFonts w:ascii="Verdana" w:hAnsi="Verdana" w:cstheme="minorHAnsi"/>
          <w:noProof/>
          <w:lang w:val="en-GB"/>
        </w:rPr>
        <w:t>C</w:t>
      </w:r>
      <w:r w:rsidRPr="00E66F8A">
        <w:rPr>
          <w:rFonts w:ascii="Verdana" w:hAnsi="Verdana" w:cstheme="minorHAnsi"/>
          <w:noProof/>
          <w:lang w:val="en-GB"/>
        </w:rPr>
        <w:t>hlorophyll a</w:t>
      </w:r>
      <w:r w:rsidR="00803F06">
        <w:rPr>
          <w:rFonts w:ascii="Verdana" w:hAnsi="Verdana" w:cstheme="minorHAnsi"/>
          <w:noProof/>
          <w:lang w:val="en-GB"/>
        </w:rPr>
        <w:t>,</w:t>
      </w:r>
      <w:r w:rsidRPr="00E66F8A">
        <w:rPr>
          <w:rFonts w:ascii="Verdana" w:hAnsi="Verdana" w:cstheme="minorHAnsi"/>
          <w:noProof/>
          <w:lang w:val="en-GB"/>
        </w:rPr>
        <w:t xml:space="preserve"> SST and time; the influence of the</w:t>
      </w:r>
      <w:r w:rsidR="00DF1671">
        <w:rPr>
          <w:rFonts w:ascii="Verdana" w:hAnsi="Verdana" w:cstheme="minorHAnsi"/>
          <w:noProof/>
          <w:lang w:val="en-GB"/>
        </w:rPr>
        <w:t>se</w:t>
      </w:r>
      <w:r w:rsidRPr="00E66F8A">
        <w:rPr>
          <w:rFonts w:ascii="Verdana" w:hAnsi="Verdana" w:cstheme="minorHAnsi"/>
          <w:noProof/>
          <w:lang w:val="en-GB"/>
        </w:rPr>
        <w:t xml:space="preserve"> </w:t>
      </w:r>
      <w:r w:rsidR="00DF1671">
        <w:rPr>
          <w:rFonts w:ascii="Verdana" w:hAnsi="Verdana" w:cstheme="minorHAnsi"/>
          <w:noProof/>
          <w:lang w:val="en-GB"/>
        </w:rPr>
        <w:t>variables</w:t>
      </w:r>
      <w:r w:rsidRPr="00E66F8A">
        <w:rPr>
          <w:rFonts w:ascii="Verdana" w:hAnsi="Verdana" w:cstheme="minorHAnsi"/>
          <w:noProof/>
          <w:lang w:val="en-GB"/>
        </w:rPr>
        <w:t xml:space="preserve"> on the reproduction was tested through a</w:t>
      </w:r>
      <w:r w:rsidR="00663F40">
        <w:rPr>
          <w:rFonts w:ascii="Verdana" w:hAnsi="Verdana" w:cstheme="minorHAnsi"/>
          <w:noProof/>
          <w:lang w:val="en-GB"/>
        </w:rPr>
        <w:t xml:space="preserve"> simple</w:t>
      </w:r>
      <w:r w:rsidRPr="00E66F8A">
        <w:rPr>
          <w:rFonts w:ascii="Verdana" w:hAnsi="Verdana" w:cstheme="minorHAnsi"/>
          <w:noProof/>
          <w:lang w:val="en-GB"/>
        </w:rPr>
        <w:t xml:space="preserve"> linear model (LM).</w:t>
      </w:r>
    </w:p>
    <w:p w14:paraId="296EF11C" w14:textId="77777777" w:rsidR="004E7EEA" w:rsidRDefault="004E7EEA" w:rsidP="004E7EEA">
      <w:pPr>
        <w:spacing w:after="0" w:line="240" w:lineRule="auto"/>
        <w:jc w:val="both"/>
        <w:rPr>
          <w:rFonts w:ascii="Verdana" w:hAnsi="Verdana" w:cstheme="minorHAnsi"/>
          <w:noProof/>
          <w:lang w:val="en-GB"/>
        </w:rPr>
      </w:pPr>
    </w:p>
    <w:p w14:paraId="0205A4E8" w14:textId="163ADAF9" w:rsidR="00854851" w:rsidRDefault="00983705" w:rsidP="004E7EEA">
      <w:pPr>
        <w:spacing w:after="0" w:line="240" w:lineRule="auto"/>
        <w:ind w:firstLine="284"/>
        <w:jc w:val="both"/>
        <w:rPr>
          <w:rFonts w:ascii="Verdana" w:hAnsi="Verdana" w:cstheme="minorHAnsi"/>
          <w:noProof/>
          <w:lang w:val="en-GB"/>
        </w:rPr>
      </w:pPr>
      <w:r w:rsidRPr="00010947">
        <w:rPr>
          <w:rFonts w:ascii="Verdana" w:hAnsi="Verdana" w:cstheme="minorHAnsi"/>
          <w:b/>
          <w:bCs/>
          <w:noProof/>
          <w:lang w:val="en-GB"/>
        </w:rPr>
        <w:t>Results</w:t>
      </w:r>
      <w:r>
        <w:rPr>
          <w:rFonts w:ascii="Verdana" w:hAnsi="Verdana" w:cstheme="minorHAnsi"/>
          <w:noProof/>
          <w:lang w:val="en-GB"/>
        </w:rPr>
        <w:t xml:space="preserve"> - </w:t>
      </w:r>
      <w:r w:rsidR="00E66F8A" w:rsidRPr="00E66F8A">
        <w:rPr>
          <w:rFonts w:ascii="Verdana" w:hAnsi="Verdana" w:cstheme="minorHAnsi"/>
          <w:noProof/>
          <w:lang w:val="en-GB"/>
        </w:rPr>
        <w:t>GSIs reached their peak respectively in spring and summer seasons for the anchovy and winter and spring seasons for the sardine</w:t>
      </w:r>
      <w:r w:rsidR="00803F06">
        <w:rPr>
          <w:rFonts w:ascii="Verdana" w:hAnsi="Verdana" w:cstheme="minorHAnsi"/>
          <w:noProof/>
          <w:lang w:val="en-GB"/>
        </w:rPr>
        <w:t>,</w:t>
      </w:r>
      <w:r w:rsidR="00E66F8A" w:rsidRPr="00E66F8A">
        <w:rPr>
          <w:rFonts w:ascii="Verdana" w:hAnsi="Verdana" w:cstheme="minorHAnsi"/>
          <w:noProof/>
          <w:lang w:val="en-GB"/>
        </w:rPr>
        <w:t xml:space="preserve"> in all the years considered.</w:t>
      </w:r>
    </w:p>
    <w:p w14:paraId="74CCD0D0" w14:textId="77777777" w:rsidR="004E7EEA" w:rsidRDefault="004E7EEA" w:rsidP="004E7EEA">
      <w:pPr>
        <w:spacing w:after="0" w:line="240" w:lineRule="auto"/>
        <w:ind w:firstLine="284"/>
        <w:jc w:val="both"/>
        <w:rPr>
          <w:rFonts w:ascii="Verdana" w:hAnsi="Verdana" w:cstheme="minorHAnsi"/>
          <w:noProof/>
          <w:lang w:val="en-GB"/>
        </w:rPr>
      </w:pPr>
    </w:p>
    <w:p w14:paraId="2C31ECE7" w14:textId="7545C3A8" w:rsidR="00854851" w:rsidRPr="00DD0D2B" w:rsidRDefault="00854851" w:rsidP="004E7EEA">
      <w:pPr>
        <w:keepNext/>
        <w:keepLines/>
        <w:spacing w:after="0" w:line="240" w:lineRule="auto"/>
        <w:ind w:left="709" w:hanging="709"/>
        <w:jc w:val="both"/>
        <w:rPr>
          <w:rFonts w:ascii="Verdana" w:eastAsia="SimSun" w:hAnsi="Verdana" w:cs="Times New Roman"/>
          <w:sz w:val="18"/>
          <w:szCs w:val="18"/>
          <w:lang w:val="en-US"/>
        </w:rPr>
      </w:pPr>
      <w:r w:rsidRPr="004F4C80">
        <w:rPr>
          <w:rFonts w:ascii="Verdana" w:eastAsia="SimSun" w:hAnsi="Verdana" w:cs="Times New Roman"/>
          <w:sz w:val="18"/>
          <w:szCs w:val="18"/>
          <w:lang w:val="en-US"/>
        </w:rPr>
        <w:t xml:space="preserve">Tab. 1 - </w:t>
      </w:r>
      <w:r w:rsidRPr="00DD0D2B">
        <w:rPr>
          <w:rFonts w:ascii="Verdana" w:eastAsia="SimSun" w:hAnsi="Verdana" w:cs="Times New Roman"/>
          <w:sz w:val="18"/>
          <w:szCs w:val="18"/>
          <w:lang w:val="en-US"/>
        </w:rPr>
        <w:t xml:space="preserve">Kendall rank correlation coefficient and linear model results between small </w:t>
      </w:r>
      <w:proofErr w:type="spellStart"/>
      <w:r w:rsidRPr="00DD0D2B">
        <w:rPr>
          <w:rFonts w:ascii="Verdana" w:eastAsia="SimSun" w:hAnsi="Verdana" w:cs="Times New Roman"/>
          <w:sz w:val="18"/>
          <w:szCs w:val="18"/>
          <w:lang w:val="en-US"/>
        </w:rPr>
        <w:t>pelagics</w:t>
      </w:r>
      <w:proofErr w:type="spellEnd"/>
      <w:r w:rsidRPr="00DD0D2B">
        <w:rPr>
          <w:rFonts w:ascii="Verdana" w:eastAsia="SimSun" w:hAnsi="Verdana" w:cs="Times New Roman"/>
          <w:sz w:val="18"/>
          <w:szCs w:val="18"/>
          <w:lang w:val="en-US"/>
        </w:rPr>
        <w:t xml:space="preserve"> gonadosomatic index and sea surface temperature</w:t>
      </w:r>
      <w:r w:rsidR="00601A7B">
        <w:rPr>
          <w:rFonts w:ascii="Verdana" w:eastAsia="SimSun" w:hAnsi="Verdana" w:cs="Times New Roman"/>
          <w:sz w:val="18"/>
          <w:szCs w:val="18"/>
          <w:lang w:val="en-US"/>
        </w:rPr>
        <w:t xml:space="preserve"> (SST)</w:t>
      </w:r>
      <w:r w:rsidRPr="00DD0D2B">
        <w:rPr>
          <w:rFonts w:ascii="Verdana" w:eastAsia="SimSun" w:hAnsi="Verdana" w:cs="Times New Roman"/>
          <w:sz w:val="18"/>
          <w:szCs w:val="18"/>
          <w:lang w:val="en-US"/>
        </w:rPr>
        <w:t xml:space="preserve">, </w:t>
      </w:r>
      <w:r w:rsidR="00601A7B">
        <w:rPr>
          <w:rFonts w:ascii="Verdana" w:eastAsia="SimSun" w:hAnsi="Verdana" w:cs="Times New Roman"/>
          <w:sz w:val="18"/>
          <w:szCs w:val="18"/>
          <w:lang w:val="en-US"/>
        </w:rPr>
        <w:t>C</w:t>
      </w:r>
      <w:r w:rsidR="00601A7B" w:rsidRPr="00DD0D2B">
        <w:rPr>
          <w:rFonts w:ascii="Verdana" w:eastAsia="SimSun" w:hAnsi="Verdana" w:cs="Times New Roman"/>
          <w:sz w:val="18"/>
          <w:szCs w:val="18"/>
          <w:lang w:val="en-US"/>
        </w:rPr>
        <w:t xml:space="preserve">hlorophyll </w:t>
      </w:r>
      <w:r w:rsidRPr="00DD0D2B">
        <w:rPr>
          <w:rFonts w:ascii="Verdana" w:eastAsia="SimSun" w:hAnsi="Verdana" w:cs="Times New Roman"/>
          <w:sz w:val="18"/>
          <w:szCs w:val="18"/>
          <w:lang w:val="en-US"/>
        </w:rPr>
        <w:t>a and time variables.</w:t>
      </w:r>
    </w:p>
    <w:p w14:paraId="125A1A5C" w14:textId="10700A88" w:rsidR="00854851" w:rsidRDefault="00854851" w:rsidP="004E7EEA">
      <w:pPr>
        <w:keepNext/>
        <w:keepLines/>
        <w:spacing w:after="0" w:line="240" w:lineRule="auto"/>
        <w:ind w:left="709"/>
        <w:jc w:val="both"/>
        <w:rPr>
          <w:rFonts w:ascii="Verdana" w:eastAsia="SimSun" w:hAnsi="Verdana" w:cs="Times New Roman"/>
          <w:i/>
          <w:iCs/>
          <w:sz w:val="18"/>
          <w:szCs w:val="18"/>
        </w:rPr>
      </w:pPr>
      <w:r w:rsidRPr="004E7EEA">
        <w:rPr>
          <w:rFonts w:ascii="Verdana" w:eastAsia="SimSun" w:hAnsi="Verdana" w:cs="Times New Roman"/>
          <w:i/>
          <w:iCs/>
          <w:sz w:val="18"/>
          <w:szCs w:val="18"/>
        </w:rPr>
        <w:t xml:space="preserve">Risultati del coefficiente di correlazione di Kendall e del modello lineare tra l’indice </w:t>
      </w:r>
      <w:proofErr w:type="spellStart"/>
      <w:r w:rsidRPr="004E7EEA">
        <w:rPr>
          <w:rFonts w:ascii="Verdana" w:eastAsia="SimSun" w:hAnsi="Verdana" w:cs="Times New Roman"/>
          <w:i/>
          <w:iCs/>
          <w:sz w:val="18"/>
          <w:szCs w:val="18"/>
        </w:rPr>
        <w:t>gonadosomatico</w:t>
      </w:r>
      <w:proofErr w:type="spellEnd"/>
      <w:r w:rsidRPr="004E7EEA">
        <w:rPr>
          <w:rFonts w:ascii="Verdana" w:eastAsia="SimSun" w:hAnsi="Verdana" w:cs="Times New Roman"/>
          <w:i/>
          <w:iCs/>
          <w:sz w:val="18"/>
          <w:szCs w:val="18"/>
        </w:rPr>
        <w:t xml:space="preserve"> dei piccoli pelagici e le variabili temperatura superficiale marina</w:t>
      </w:r>
      <w:r w:rsidR="007F58EC" w:rsidRPr="004E7EEA">
        <w:rPr>
          <w:rFonts w:ascii="Verdana" w:eastAsia="SimSun" w:hAnsi="Verdana" w:cs="Times New Roman"/>
          <w:i/>
          <w:iCs/>
          <w:sz w:val="18"/>
          <w:szCs w:val="18"/>
        </w:rPr>
        <w:t xml:space="preserve"> </w:t>
      </w:r>
      <w:r w:rsidR="00601A7B" w:rsidRPr="004E7EEA">
        <w:rPr>
          <w:rFonts w:ascii="Verdana" w:eastAsia="SimSun" w:hAnsi="Verdana" w:cs="Times New Roman"/>
          <w:i/>
          <w:iCs/>
          <w:sz w:val="18"/>
          <w:szCs w:val="18"/>
        </w:rPr>
        <w:t>(SST)</w:t>
      </w:r>
      <w:r w:rsidRPr="004E7EEA">
        <w:rPr>
          <w:rFonts w:ascii="Verdana" w:eastAsia="SimSun" w:hAnsi="Verdana" w:cs="Times New Roman"/>
          <w:i/>
          <w:iCs/>
          <w:sz w:val="18"/>
          <w:szCs w:val="18"/>
        </w:rPr>
        <w:t>, clorofilla a e tempo.</w:t>
      </w:r>
    </w:p>
    <w:p w14:paraId="23479C55" w14:textId="77777777" w:rsidR="004E7EEA" w:rsidRPr="004E7EEA" w:rsidRDefault="004E7EEA" w:rsidP="004E7EEA">
      <w:pPr>
        <w:keepNext/>
        <w:keepLines/>
        <w:spacing w:after="0" w:line="240" w:lineRule="auto"/>
        <w:ind w:left="709"/>
        <w:jc w:val="both"/>
        <w:rPr>
          <w:rFonts w:ascii="Verdana" w:eastAsia="SimSun" w:hAnsi="Verdana" w:cs="Times New Roman"/>
          <w:i/>
          <w:iCs/>
          <w:sz w:val="18"/>
          <w:szCs w:val="18"/>
        </w:rPr>
      </w:pPr>
    </w:p>
    <w:tbl>
      <w:tblPr>
        <w:tblW w:w="0" w:type="auto"/>
        <w:jc w:val="center"/>
        <w:tblLook w:val="01E0" w:firstRow="1" w:lastRow="1" w:firstColumn="1" w:lastColumn="1" w:noHBand="0" w:noVBand="0"/>
      </w:tblPr>
      <w:tblGrid>
        <w:gridCol w:w="2410"/>
        <w:gridCol w:w="2380"/>
        <w:gridCol w:w="1306"/>
        <w:gridCol w:w="1863"/>
        <w:gridCol w:w="1679"/>
      </w:tblGrid>
      <w:tr w:rsidR="00854851" w:rsidRPr="004E7EEA" w14:paraId="290E6BFE" w14:textId="77777777" w:rsidTr="004E7EEA">
        <w:trPr>
          <w:trHeight w:val="340"/>
          <w:jc w:val="center"/>
        </w:trPr>
        <w:tc>
          <w:tcPr>
            <w:tcW w:w="2410" w:type="dxa"/>
            <w:tcBorders>
              <w:top w:val="single" w:sz="4" w:space="0" w:color="auto"/>
              <w:bottom w:val="single" w:sz="4" w:space="0" w:color="auto"/>
            </w:tcBorders>
            <w:vAlign w:val="center"/>
          </w:tcPr>
          <w:p w14:paraId="25B1F6FE" w14:textId="6506BE23" w:rsidR="004E7EEA" w:rsidRPr="004E7EEA" w:rsidRDefault="00854851" w:rsidP="004E7EEA">
            <w:pPr>
              <w:spacing w:after="0" w:line="240" w:lineRule="auto"/>
              <w:rPr>
                <w:rFonts w:ascii="Verdana" w:eastAsia="SimSun" w:hAnsi="Verdana" w:cs="Times New Roman"/>
                <w:b/>
                <w:sz w:val="18"/>
                <w:szCs w:val="18"/>
                <w:lang w:val="en-US"/>
              </w:rPr>
            </w:pPr>
            <w:r w:rsidRPr="004E7EEA">
              <w:rPr>
                <w:rFonts w:ascii="Verdana" w:eastAsia="SimSun" w:hAnsi="Verdana" w:cs="Times New Roman"/>
                <w:b/>
                <w:sz w:val="18"/>
                <w:szCs w:val="18"/>
                <w:lang w:val="en-US"/>
              </w:rPr>
              <w:t>Variables</w:t>
            </w:r>
          </w:p>
        </w:tc>
        <w:tc>
          <w:tcPr>
            <w:tcW w:w="3686" w:type="dxa"/>
            <w:gridSpan w:val="2"/>
            <w:tcBorders>
              <w:top w:val="single" w:sz="4" w:space="0" w:color="auto"/>
              <w:bottom w:val="single" w:sz="4" w:space="0" w:color="auto"/>
            </w:tcBorders>
            <w:vAlign w:val="center"/>
          </w:tcPr>
          <w:p w14:paraId="375D3143" w14:textId="4037B730" w:rsidR="00854851" w:rsidRPr="004E7EEA" w:rsidRDefault="00854851"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Kendall</w:t>
            </w:r>
          </w:p>
        </w:tc>
        <w:tc>
          <w:tcPr>
            <w:tcW w:w="3542" w:type="dxa"/>
            <w:gridSpan w:val="2"/>
            <w:tcBorders>
              <w:top w:val="single" w:sz="4" w:space="0" w:color="auto"/>
              <w:bottom w:val="single" w:sz="4" w:space="0" w:color="auto"/>
            </w:tcBorders>
            <w:vAlign w:val="center"/>
          </w:tcPr>
          <w:p w14:paraId="0D3799A8" w14:textId="77777777" w:rsidR="00854851" w:rsidRPr="004E7EEA" w:rsidRDefault="00854851"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Linear model</w:t>
            </w:r>
          </w:p>
        </w:tc>
      </w:tr>
      <w:tr w:rsidR="00854851" w:rsidRPr="004E7EEA" w14:paraId="02F4CE54" w14:textId="77777777" w:rsidTr="004E7EEA">
        <w:trPr>
          <w:trHeight w:val="340"/>
          <w:jc w:val="center"/>
        </w:trPr>
        <w:tc>
          <w:tcPr>
            <w:tcW w:w="2410" w:type="dxa"/>
            <w:tcBorders>
              <w:top w:val="single" w:sz="4" w:space="0" w:color="auto"/>
              <w:bottom w:val="single" w:sz="4" w:space="0" w:color="auto"/>
            </w:tcBorders>
            <w:vAlign w:val="center"/>
          </w:tcPr>
          <w:p w14:paraId="2951BE53" w14:textId="160FE0FA" w:rsidR="00854851" w:rsidRPr="004E7EEA" w:rsidRDefault="00854851" w:rsidP="004E7EEA">
            <w:pPr>
              <w:spacing w:after="0" w:line="240" w:lineRule="auto"/>
              <w:rPr>
                <w:rFonts w:ascii="Verdana" w:eastAsia="SimSun" w:hAnsi="Verdana" w:cs="Times New Roman"/>
                <w:b/>
                <w:sz w:val="18"/>
                <w:szCs w:val="18"/>
                <w:lang w:val="en-US"/>
              </w:rPr>
            </w:pPr>
            <w:r w:rsidRPr="004E7EEA">
              <w:rPr>
                <w:rFonts w:ascii="Verdana" w:eastAsia="SimSun" w:hAnsi="Verdana" w:cs="Times New Roman"/>
                <w:b/>
                <w:sz w:val="18"/>
                <w:szCs w:val="18"/>
                <w:lang w:val="en-US"/>
              </w:rPr>
              <w:t>Anchovy</w:t>
            </w:r>
          </w:p>
        </w:tc>
        <w:tc>
          <w:tcPr>
            <w:tcW w:w="2380" w:type="dxa"/>
            <w:tcBorders>
              <w:top w:val="single" w:sz="4" w:space="0" w:color="auto"/>
              <w:bottom w:val="single" w:sz="4" w:space="0" w:color="auto"/>
            </w:tcBorders>
            <w:vAlign w:val="center"/>
          </w:tcPr>
          <w:p w14:paraId="3FFF41D5" w14:textId="77777777" w:rsidR="00854851" w:rsidRPr="004E7EEA" w:rsidRDefault="00854851" w:rsidP="004E7EEA">
            <w:pPr>
              <w:spacing w:after="0" w:line="240" w:lineRule="auto"/>
              <w:jc w:val="center"/>
              <w:rPr>
                <w:rFonts w:ascii="Verdana" w:hAnsi="Verdana" w:cs="Times New Roman"/>
                <w:b/>
                <w:sz w:val="18"/>
                <w:szCs w:val="18"/>
                <w:lang w:val="en-US"/>
              </w:rPr>
            </w:pPr>
            <w:r w:rsidRPr="004E7EEA">
              <w:rPr>
                <w:rFonts w:ascii="Verdana" w:eastAsia="SimSun" w:hAnsi="Verdana" w:cs="Times New Roman"/>
                <w:b/>
                <w:sz w:val="18"/>
                <w:szCs w:val="18"/>
                <w:lang w:val="en-US"/>
              </w:rPr>
              <w:t>p-value</w:t>
            </w:r>
          </w:p>
        </w:tc>
        <w:tc>
          <w:tcPr>
            <w:tcW w:w="1306" w:type="dxa"/>
            <w:tcBorders>
              <w:top w:val="single" w:sz="4" w:space="0" w:color="auto"/>
              <w:bottom w:val="single" w:sz="4" w:space="0" w:color="auto"/>
            </w:tcBorders>
            <w:vAlign w:val="center"/>
          </w:tcPr>
          <w:p w14:paraId="3E8D4D63" w14:textId="53517463" w:rsidR="00854851" w:rsidRPr="004E7EEA" w:rsidRDefault="00854851" w:rsidP="004E7EEA">
            <w:pPr>
              <w:spacing w:after="0" w:line="240" w:lineRule="auto"/>
              <w:jc w:val="center"/>
              <w:rPr>
                <w:rFonts w:ascii="Verdana" w:eastAsia="SimSun" w:hAnsi="Verdana" w:cs="Times New Roman"/>
                <w:b/>
                <w:sz w:val="18"/>
                <w:szCs w:val="18"/>
                <w:lang w:val="en-US"/>
              </w:rPr>
            </w:pPr>
            <w:r w:rsidRPr="004E7EEA">
              <w:rPr>
                <w:rFonts w:ascii="Verdana" w:hAnsi="Verdana" w:cs="Times New Roman"/>
                <w:b/>
                <w:sz w:val="18"/>
                <w:szCs w:val="18"/>
                <w:lang w:val="en-US"/>
              </w:rPr>
              <w:t>τ</w:t>
            </w:r>
          </w:p>
        </w:tc>
        <w:tc>
          <w:tcPr>
            <w:tcW w:w="1863" w:type="dxa"/>
            <w:tcBorders>
              <w:top w:val="single" w:sz="4" w:space="0" w:color="auto"/>
              <w:bottom w:val="single" w:sz="4" w:space="0" w:color="auto"/>
            </w:tcBorders>
            <w:vAlign w:val="center"/>
          </w:tcPr>
          <w:p w14:paraId="4DDEB3F8" w14:textId="77777777" w:rsidR="00854851" w:rsidRPr="004E7EEA" w:rsidRDefault="00854851"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p-value</w:t>
            </w:r>
          </w:p>
        </w:tc>
        <w:tc>
          <w:tcPr>
            <w:tcW w:w="1679" w:type="dxa"/>
            <w:tcBorders>
              <w:top w:val="single" w:sz="4" w:space="0" w:color="auto"/>
              <w:bottom w:val="single" w:sz="4" w:space="0" w:color="auto"/>
            </w:tcBorders>
            <w:vAlign w:val="center"/>
          </w:tcPr>
          <w:p w14:paraId="73AB053C" w14:textId="77777777" w:rsidR="00854851" w:rsidRPr="004E7EEA" w:rsidRDefault="00854851"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r²</w:t>
            </w:r>
          </w:p>
        </w:tc>
      </w:tr>
      <w:tr w:rsidR="00CB07BB" w:rsidRPr="004E7EEA" w14:paraId="7D4A2AF7" w14:textId="77777777" w:rsidTr="004E7EEA">
        <w:trPr>
          <w:trHeight w:val="340"/>
          <w:jc w:val="center"/>
        </w:trPr>
        <w:tc>
          <w:tcPr>
            <w:tcW w:w="2410" w:type="dxa"/>
            <w:tcBorders>
              <w:top w:val="single" w:sz="4" w:space="0" w:color="auto"/>
            </w:tcBorders>
            <w:vAlign w:val="center"/>
          </w:tcPr>
          <w:p w14:paraId="049C25FD" w14:textId="4704799B" w:rsidR="00CB07BB" w:rsidRPr="004E7EEA" w:rsidRDefault="00CB07BB" w:rsidP="004E7EEA">
            <w:pPr>
              <w:spacing w:after="0" w:line="240" w:lineRule="auto"/>
              <w:rPr>
                <w:rFonts w:ascii="Verdana" w:eastAsia="SimSun" w:hAnsi="Verdana" w:cs="Times New Roman"/>
                <w:sz w:val="18"/>
                <w:szCs w:val="18"/>
                <w:lang w:val="en-US"/>
              </w:rPr>
            </w:pPr>
            <w:r w:rsidRPr="004E7EEA">
              <w:rPr>
                <w:rFonts w:ascii="Verdana" w:eastAsia="SimSun" w:hAnsi="Verdana" w:cs="Times New Roman"/>
                <w:sz w:val="18"/>
                <w:szCs w:val="18"/>
                <w:lang w:val="en-US"/>
              </w:rPr>
              <w:t>GSI – Time (months)</w:t>
            </w:r>
          </w:p>
        </w:tc>
        <w:tc>
          <w:tcPr>
            <w:tcW w:w="2380" w:type="dxa"/>
            <w:tcBorders>
              <w:top w:val="single" w:sz="4" w:space="0" w:color="auto"/>
            </w:tcBorders>
            <w:vAlign w:val="center"/>
          </w:tcPr>
          <w:p w14:paraId="756A1A99" w14:textId="1A8A1EDF"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&gt;0.05</w:t>
            </w:r>
          </w:p>
        </w:tc>
        <w:tc>
          <w:tcPr>
            <w:tcW w:w="1306" w:type="dxa"/>
            <w:tcBorders>
              <w:top w:val="single" w:sz="4" w:space="0" w:color="auto"/>
            </w:tcBorders>
            <w:vAlign w:val="center"/>
          </w:tcPr>
          <w:p w14:paraId="028B5F8E" w14:textId="4B13126E"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-0.206</w:t>
            </w:r>
          </w:p>
        </w:tc>
        <w:tc>
          <w:tcPr>
            <w:tcW w:w="1863" w:type="dxa"/>
            <w:tcBorders>
              <w:top w:val="single" w:sz="4" w:space="0" w:color="auto"/>
            </w:tcBorders>
            <w:vAlign w:val="center"/>
          </w:tcPr>
          <w:p w14:paraId="37DD7838" w14:textId="65A8EB09"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&gt;0.05</w:t>
            </w:r>
          </w:p>
        </w:tc>
        <w:tc>
          <w:tcPr>
            <w:tcW w:w="1679" w:type="dxa"/>
            <w:tcBorders>
              <w:top w:val="single" w:sz="4" w:space="0" w:color="auto"/>
            </w:tcBorders>
            <w:vAlign w:val="center"/>
          </w:tcPr>
          <w:p w14:paraId="4659C793" w14:textId="35B0895E"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0.055</w:t>
            </w:r>
          </w:p>
        </w:tc>
      </w:tr>
      <w:tr w:rsidR="00CB07BB" w:rsidRPr="004E7EEA" w14:paraId="6A79CF0B" w14:textId="77777777" w:rsidTr="004E7EEA">
        <w:trPr>
          <w:trHeight w:val="340"/>
          <w:jc w:val="center"/>
        </w:trPr>
        <w:tc>
          <w:tcPr>
            <w:tcW w:w="2410" w:type="dxa"/>
            <w:vAlign w:val="center"/>
          </w:tcPr>
          <w:p w14:paraId="215F3A65" w14:textId="6120C0D2" w:rsidR="00CB07BB" w:rsidRPr="004E7EEA" w:rsidRDefault="00CB07BB" w:rsidP="004E7EEA">
            <w:pPr>
              <w:spacing w:after="0" w:line="240" w:lineRule="auto"/>
              <w:rPr>
                <w:rFonts w:ascii="Verdana" w:eastAsia="SimSun" w:hAnsi="Verdana" w:cs="Times New Roman"/>
                <w:sz w:val="18"/>
                <w:szCs w:val="18"/>
                <w:lang w:val="en-US"/>
              </w:rPr>
            </w:pPr>
            <w:r w:rsidRPr="004E7EEA">
              <w:rPr>
                <w:rFonts w:ascii="Verdana" w:eastAsia="SimSun" w:hAnsi="Verdana" w:cs="Times New Roman"/>
                <w:sz w:val="18"/>
                <w:szCs w:val="18"/>
                <w:lang w:val="en-US"/>
              </w:rPr>
              <w:t>GSI - SST</w:t>
            </w:r>
          </w:p>
        </w:tc>
        <w:tc>
          <w:tcPr>
            <w:tcW w:w="2380" w:type="dxa"/>
            <w:vAlign w:val="center"/>
          </w:tcPr>
          <w:p w14:paraId="5D50077C" w14:textId="3FCF1951"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&gt;0.05</w:t>
            </w:r>
          </w:p>
        </w:tc>
        <w:tc>
          <w:tcPr>
            <w:tcW w:w="1306" w:type="dxa"/>
            <w:vAlign w:val="center"/>
          </w:tcPr>
          <w:p w14:paraId="623C153C" w14:textId="0BCED4C6"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0.193</w:t>
            </w:r>
          </w:p>
        </w:tc>
        <w:tc>
          <w:tcPr>
            <w:tcW w:w="1863" w:type="dxa"/>
            <w:vAlign w:val="center"/>
          </w:tcPr>
          <w:p w14:paraId="36077BEF" w14:textId="1C4DA13F"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&gt;0.05</w:t>
            </w:r>
          </w:p>
        </w:tc>
        <w:tc>
          <w:tcPr>
            <w:tcW w:w="1679" w:type="dxa"/>
            <w:vAlign w:val="center"/>
          </w:tcPr>
          <w:p w14:paraId="582A5132" w14:textId="74BB9829"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0.089</w:t>
            </w:r>
          </w:p>
        </w:tc>
      </w:tr>
      <w:tr w:rsidR="00CB07BB" w:rsidRPr="004E7EEA" w14:paraId="1429AA0B" w14:textId="77777777" w:rsidTr="004E7EEA">
        <w:trPr>
          <w:trHeight w:val="340"/>
          <w:jc w:val="center"/>
        </w:trPr>
        <w:tc>
          <w:tcPr>
            <w:tcW w:w="2410" w:type="dxa"/>
            <w:tcBorders>
              <w:bottom w:val="single" w:sz="4" w:space="0" w:color="auto"/>
            </w:tcBorders>
            <w:vAlign w:val="center"/>
          </w:tcPr>
          <w:p w14:paraId="5E08B7B4" w14:textId="77777777" w:rsidR="00CB07BB" w:rsidRPr="004E7EEA" w:rsidRDefault="00CB07BB" w:rsidP="004E7EEA">
            <w:pPr>
              <w:spacing w:after="0" w:line="240" w:lineRule="auto"/>
              <w:rPr>
                <w:rFonts w:ascii="Verdana" w:eastAsia="SimSun" w:hAnsi="Verdana" w:cs="Times New Roman"/>
                <w:sz w:val="18"/>
                <w:szCs w:val="18"/>
                <w:lang w:val="en-US"/>
              </w:rPr>
            </w:pPr>
            <w:r w:rsidRPr="004E7EEA">
              <w:rPr>
                <w:rFonts w:ascii="Verdana" w:eastAsia="SimSun" w:hAnsi="Verdana" w:cs="Times New Roman"/>
                <w:sz w:val="18"/>
                <w:szCs w:val="18"/>
                <w:lang w:val="en-US"/>
              </w:rPr>
              <w:t>GSI – Chlorophyll a</w:t>
            </w:r>
          </w:p>
        </w:tc>
        <w:tc>
          <w:tcPr>
            <w:tcW w:w="2380" w:type="dxa"/>
            <w:tcBorders>
              <w:bottom w:val="single" w:sz="4" w:space="0" w:color="auto"/>
            </w:tcBorders>
            <w:vAlign w:val="center"/>
          </w:tcPr>
          <w:p w14:paraId="0F7C6503" w14:textId="070B1D22"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&lt;0.05</w:t>
            </w:r>
          </w:p>
        </w:tc>
        <w:tc>
          <w:tcPr>
            <w:tcW w:w="1306" w:type="dxa"/>
            <w:tcBorders>
              <w:bottom w:val="single" w:sz="4" w:space="0" w:color="auto"/>
            </w:tcBorders>
            <w:vAlign w:val="center"/>
          </w:tcPr>
          <w:p w14:paraId="323BD7CB" w14:textId="6A661D37"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-0.27</w:t>
            </w:r>
          </w:p>
        </w:tc>
        <w:tc>
          <w:tcPr>
            <w:tcW w:w="1863" w:type="dxa"/>
            <w:tcBorders>
              <w:bottom w:val="single" w:sz="4" w:space="0" w:color="auto"/>
            </w:tcBorders>
            <w:vAlign w:val="center"/>
          </w:tcPr>
          <w:p w14:paraId="3CD246F6" w14:textId="692FB3B8"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&lt;0.05</w:t>
            </w:r>
          </w:p>
        </w:tc>
        <w:tc>
          <w:tcPr>
            <w:tcW w:w="1679" w:type="dxa"/>
            <w:tcBorders>
              <w:bottom w:val="single" w:sz="4" w:space="0" w:color="auto"/>
            </w:tcBorders>
            <w:vAlign w:val="center"/>
          </w:tcPr>
          <w:p w14:paraId="69F91864" w14:textId="5BC94A70"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0.165</w:t>
            </w:r>
          </w:p>
        </w:tc>
      </w:tr>
      <w:tr w:rsidR="00854851" w:rsidRPr="004E7EEA" w14:paraId="61E313E7" w14:textId="77777777" w:rsidTr="004E7EEA">
        <w:trPr>
          <w:trHeight w:val="340"/>
          <w:jc w:val="center"/>
        </w:trPr>
        <w:tc>
          <w:tcPr>
            <w:tcW w:w="2410" w:type="dxa"/>
            <w:tcBorders>
              <w:top w:val="single" w:sz="4" w:space="0" w:color="auto"/>
              <w:bottom w:val="single" w:sz="4" w:space="0" w:color="auto"/>
            </w:tcBorders>
            <w:vAlign w:val="center"/>
          </w:tcPr>
          <w:p w14:paraId="1D6D2930" w14:textId="77777777" w:rsidR="00854851" w:rsidRPr="004E7EEA" w:rsidRDefault="00854851" w:rsidP="004E7EEA">
            <w:pPr>
              <w:spacing w:after="0" w:line="240" w:lineRule="auto"/>
              <w:rPr>
                <w:rFonts w:ascii="Verdana" w:eastAsia="SimSun" w:hAnsi="Verdana" w:cs="Times New Roman"/>
                <w:sz w:val="18"/>
                <w:szCs w:val="18"/>
                <w:lang w:val="en-US"/>
              </w:rPr>
            </w:pPr>
            <w:r w:rsidRPr="004E7EEA">
              <w:rPr>
                <w:rFonts w:ascii="Verdana" w:eastAsia="SimSun" w:hAnsi="Verdana" w:cs="Times New Roman"/>
                <w:b/>
                <w:sz w:val="18"/>
                <w:szCs w:val="18"/>
                <w:lang w:val="en-US"/>
              </w:rPr>
              <w:t>Sardine</w:t>
            </w:r>
          </w:p>
        </w:tc>
        <w:tc>
          <w:tcPr>
            <w:tcW w:w="2380" w:type="dxa"/>
            <w:tcBorders>
              <w:top w:val="single" w:sz="4" w:space="0" w:color="auto"/>
              <w:bottom w:val="single" w:sz="4" w:space="0" w:color="auto"/>
            </w:tcBorders>
            <w:vAlign w:val="center"/>
          </w:tcPr>
          <w:p w14:paraId="7FD1CAF5" w14:textId="77777777" w:rsidR="00854851" w:rsidRPr="004E7EEA" w:rsidRDefault="00854851" w:rsidP="004E7EEA">
            <w:pPr>
              <w:spacing w:after="0" w:line="240" w:lineRule="auto"/>
              <w:jc w:val="center"/>
              <w:rPr>
                <w:rFonts w:ascii="Verdana" w:eastAsia="SimSun" w:hAnsi="Verdana" w:cs="Times New Roman"/>
                <w:sz w:val="18"/>
                <w:szCs w:val="18"/>
                <w:lang w:val="en-US"/>
              </w:rPr>
            </w:pPr>
          </w:p>
        </w:tc>
        <w:tc>
          <w:tcPr>
            <w:tcW w:w="1306" w:type="dxa"/>
            <w:tcBorders>
              <w:top w:val="single" w:sz="4" w:space="0" w:color="auto"/>
              <w:bottom w:val="single" w:sz="4" w:space="0" w:color="auto"/>
            </w:tcBorders>
            <w:vAlign w:val="center"/>
          </w:tcPr>
          <w:p w14:paraId="2E6425DF" w14:textId="77777777" w:rsidR="00854851" w:rsidRPr="004E7EEA" w:rsidRDefault="00854851" w:rsidP="004E7EEA">
            <w:pPr>
              <w:spacing w:after="0" w:line="240" w:lineRule="auto"/>
              <w:jc w:val="center"/>
              <w:rPr>
                <w:rFonts w:ascii="Verdana" w:eastAsia="SimSun" w:hAnsi="Verdana" w:cs="Times New Roman"/>
                <w:sz w:val="18"/>
                <w:szCs w:val="18"/>
                <w:lang w:val="en-US"/>
              </w:rPr>
            </w:pPr>
          </w:p>
        </w:tc>
        <w:tc>
          <w:tcPr>
            <w:tcW w:w="1863" w:type="dxa"/>
            <w:tcBorders>
              <w:top w:val="single" w:sz="4" w:space="0" w:color="auto"/>
              <w:bottom w:val="single" w:sz="4" w:space="0" w:color="auto"/>
            </w:tcBorders>
            <w:vAlign w:val="center"/>
          </w:tcPr>
          <w:p w14:paraId="530DA212" w14:textId="77777777" w:rsidR="00854851" w:rsidRPr="004E7EEA" w:rsidRDefault="00854851" w:rsidP="004E7EEA">
            <w:pPr>
              <w:spacing w:after="0" w:line="240" w:lineRule="auto"/>
              <w:jc w:val="center"/>
              <w:rPr>
                <w:rFonts w:ascii="Verdana" w:eastAsia="SimSun" w:hAnsi="Verdana" w:cs="Times New Roman"/>
                <w:sz w:val="18"/>
                <w:szCs w:val="18"/>
                <w:lang w:val="en-US"/>
              </w:rPr>
            </w:pPr>
          </w:p>
        </w:tc>
        <w:tc>
          <w:tcPr>
            <w:tcW w:w="1679" w:type="dxa"/>
            <w:tcBorders>
              <w:top w:val="single" w:sz="4" w:space="0" w:color="auto"/>
              <w:bottom w:val="single" w:sz="4" w:space="0" w:color="auto"/>
            </w:tcBorders>
            <w:vAlign w:val="center"/>
          </w:tcPr>
          <w:p w14:paraId="4D0F6002" w14:textId="77777777" w:rsidR="00854851" w:rsidRPr="004E7EEA" w:rsidRDefault="00854851" w:rsidP="004E7EEA">
            <w:pPr>
              <w:spacing w:after="0" w:line="240" w:lineRule="auto"/>
              <w:jc w:val="center"/>
              <w:rPr>
                <w:rFonts w:ascii="Verdana" w:eastAsia="SimSun" w:hAnsi="Verdana" w:cs="Times New Roman"/>
                <w:sz w:val="18"/>
                <w:szCs w:val="18"/>
                <w:lang w:val="en-US"/>
              </w:rPr>
            </w:pPr>
          </w:p>
        </w:tc>
      </w:tr>
      <w:tr w:rsidR="00CB07BB" w:rsidRPr="004E7EEA" w14:paraId="3A1717E6" w14:textId="77777777" w:rsidTr="004E7EEA">
        <w:trPr>
          <w:trHeight w:val="340"/>
          <w:jc w:val="center"/>
        </w:trPr>
        <w:tc>
          <w:tcPr>
            <w:tcW w:w="2410" w:type="dxa"/>
            <w:tcBorders>
              <w:top w:val="single" w:sz="4" w:space="0" w:color="auto"/>
            </w:tcBorders>
            <w:vAlign w:val="center"/>
          </w:tcPr>
          <w:p w14:paraId="5F7F6353" w14:textId="77777777" w:rsidR="00CB07BB" w:rsidRPr="004E7EEA" w:rsidRDefault="00CB07BB" w:rsidP="004E7EEA">
            <w:pPr>
              <w:spacing w:after="0" w:line="240" w:lineRule="auto"/>
              <w:rPr>
                <w:rFonts w:ascii="Verdana" w:eastAsia="SimSun" w:hAnsi="Verdana" w:cs="Times New Roman"/>
                <w:sz w:val="18"/>
                <w:szCs w:val="18"/>
                <w:lang w:val="en-US"/>
              </w:rPr>
            </w:pPr>
            <w:r w:rsidRPr="004E7EEA">
              <w:rPr>
                <w:rFonts w:ascii="Verdana" w:eastAsia="SimSun" w:hAnsi="Verdana" w:cs="Times New Roman"/>
                <w:sz w:val="18"/>
                <w:szCs w:val="18"/>
                <w:lang w:val="en-US"/>
              </w:rPr>
              <w:t>GSI – Time (months)</w:t>
            </w:r>
          </w:p>
        </w:tc>
        <w:tc>
          <w:tcPr>
            <w:tcW w:w="2380" w:type="dxa"/>
            <w:tcBorders>
              <w:top w:val="single" w:sz="4" w:space="0" w:color="auto"/>
            </w:tcBorders>
            <w:vAlign w:val="center"/>
          </w:tcPr>
          <w:p w14:paraId="35126243" w14:textId="5069599F"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&gt;0.05</w:t>
            </w:r>
          </w:p>
        </w:tc>
        <w:tc>
          <w:tcPr>
            <w:tcW w:w="1306" w:type="dxa"/>
            <w:tcBorders>
              <w:top w:val="single" w:sz="4" w:space="0" w:color="auto"/>
            </w:tcBorders>
            <w:vAlign w:val="center"/>
          </w:tcPr>
          <w:p w14:paraId="1D506887" w14:textId="54399A1B"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-0.141</w:t>
            </w:r>
          </w:p>
        </w:tc>
        <w:tc>
          <w:tcPr>
            <w:tcW w:w="1863" w:type="dxa"/>
            <w:tcBorders>
              <w:top w:val="single" w:sz="4" w:space="0" w:color="auto"/>
            </w:tcBorders>
            <w:vAlign w:val="center"/>
          </w:tcPr>
          <w:p w14:paraId="30C6C1C2" w14:textId="605190CB"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&gt;0.05</w:t>
            </w:r>
          </w:p>
        </w:tc>
        <w:tc>
          <w:tcPr>
            <w:tcW w:w="1679" w:type="dxa"/>
            <w:tcBorders>
              <w:top w:val="single" w:sz="4" w:space="0" w:color="auto"/>
            </w:tcBorders>
            <w:vAlign w:val="center"/>
          </w:tcPr>
          <w:p w14:paraId="54040A97" w14:textId="75EA2D7C" w:rsidR="00CB07BB" w:rsidRPr="004E7EEA" w:rsidRDefault="00CB07BB" w:rsidP="004E7EEA">
            <w:pPr>
              <w:spacing w:after="0" w:line="240" w:lineRule="auto"/>
              <w:jc w:val="center"/>
              <w:rPr>
                <w:rFonts w:ascii="Verdana" w:eastAsia="SimSun" w:hAnsi="Verdana" w:cs="Times New Roman"/>
                <w:sz w:val="18"/>
                <w:szCs w:val="18"/>
                <w:lang w:val="en-US"/>
              </w:rPr>
            </w:pPr>
            <w:r w:rsidRPr="004E7EEA">
              <w:rPr>
                <w:rFonts w:ascii="Verdana" w:eastAsia="SimSun" w:hAnsi="Verdana" w:cs="Times New Roman"/>
                <w:sz w:val="18"/>
                <w:szCs w:val="18"/>
                <w:lang w:val="en-US"/>
              </w:rPr>
              <w:t>0.044</w:t>
            </w:r>
          </w:p>
        </w:tc>
      </w:tr>
      <w:tr w:rsidR="00CB07BB" w:rsidRPr="004E7EEA" w14:paraId="1AAF6BBF" w14:textId="77777777" w:rsidTr="004E7EEA">
        <w:trPr>
          <w:trHeight w:val="340"/>
          <w:jc w:val="center"/>
        </w:trPr>
        <w:tc>
          <w:tcPr>
            <w:tcW w:w="2410" w:type="dxa"/>
            <w:vAlign w:val="center"/>
          </w:tcPr>
          <w:p w14:paraId="22FCB29D" w14:textId="77777777" w:rsidR="00CB07BB" w:rsidRPr="004E7EEA" w:rsidRDefault="00CB07BB" w:rsidP="004E7EEA">
            <w:pPr>
              <w:spacing w:after="0" w:line="240" w:lineRule="auto"/>
              <w:rPr>
                <w:rFonts w:ascii="Verdana" w:eastAsia="SimSun" w:hAnsi="Verdana" w:cs="Times New Roman"/>
                <w:sz w:val="18"/>
                <w:szCs w:val="18"/>
                <w:lang w:val="en-US"/>
              </w:rPr>
            </w:pPr>
            <w:r w:rsidRPr="004E7EEA">
              <w:rPr>
                <w:rFonts w:ascii="Verdana" w:eastAsia="SimSun" w:hAnsi="Verdana" w:cs="Times New Roman"/>
                <w:sz w:val="18"/>
                <w:szCs w:val="18"/>
                <w:lang w:val="en-US"/>
              </w:rPr>
              <w:t>GSI - SST</w:t>
            </w:r>
          </w:p>
        </w:tc>
        <w:tc>
          <w:tcPr>
            <w:tcW w:w="2380" w:type="dxa"/>
            <w:vAlign w:val="center"/>
          </w:tcPr>
          <w:p w14:paraId="535D05A1" w14:textId="74A01268"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&lt;0.05</w:t>
            </w:r>
          </w:p>
        </w:tc>
        <w:tc>
          <w:tcPr>
            <w:tcW w:w="1306" w:type="dxa"/>
            <w:vAlign w:val="center"/>
          </w:tcPr>
          <w:p w14:paraId="32ADCE1A" w14:textId="40D9DB78"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-0.552</w:t>
            </w:r>
          </w:p>
        </w:tc>
        <w:tc>
          <w:tcPr>
            <w:tcW w:w="1863" w:type="dxa"/>
            <w:vAlign w:val="center"/>
          </w:tcPr>
          <w:p w14:paraId="50C88267" w14:textId="342C9343"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&lt;0.05</w:t>
            </w:r>
          </w:p>
        </w:tc>
        <w:tc>
          <w:tcPr>
            <w:tcW w:w="1679" w:type="dxa"/>
            <w:vAlign w:val="center"/>
          </w:tcPr>
          <w:p w14:paraId="373F83C8" w14:textId="389756AC"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0.656</w:t>
            </w:r>
          </w:p>
        </w:tc>
      </w:tr>
      <w:tr w:rsidR="00CB07BB" w:rsidRPr="004E7EEA" w14:paraId="3C150A48" w14:textId="77777777" w:rsidTr="004E7EEA">
        <w:trPr>
          <w:trHeight w:val="340"/>
          <w:jc w:val="center"/>
        </w:trPr>
        <w:tc>
          <w:tcPr>
            <w:tcW w:w="2410" w:type="dxa"/>
            <w:tcBorders>
              <w:bottom w:val="single" w:sz="4" w:space="0" w:color="auto"/>
            </w:tcBorders>
            <w:vAlign w:val="center"/>
          </w:tcPr>
          <w:p w14:paraId="56C53AED" w14:textId="77777777" w:rsidR="00CB07BB" w:rsidRPr="004E7EEA" w:rsidRDefault="00CB07BB" w:rsidP="004E7EEA">
            <w:pPr>
              <w:spacing w:after="0" w:line="240" w:lineRule="auto"/>
              <w:rPr>
                <w:rFonts w:ascii="Verdana" w:eastAsia="SimSun" w:hAnsi="Verdana" w:cs="Times New Roman"/>
                <w:sz w:val="18"/>
                <w:szCs w:val="18"/>
                <w:lang w:val="en-US"/>
              </w:rPr>
            </w:pPr>
            <w:r w:rsidRPr="004E7EEA">
              <w:rPr>
                <w:rFonts w:ascii="Verdana" w:eastAsia="SimSun" w:hAnsi="Verdana" w:cs="Times New Roman"/>
                <w:sz w:val="18"/>
                <w:szCs w:val="18"/>
                <w:lang w:val="en-US"/>
              </w:rPr>
              <w:t>GSI – Chlorophyll a</w:t>
            </w:r>
          </w:p>
        </w:tc>
        <w:tc>
          <w:tcPr>
            <w:tcW w:w="2380" w:type="dxa"/>
            <w:tcBorders>
              <w:bottom w:val="single" w:sz="4" w:space="0" w:color="auto"/>
            </w:tcBorders>
            <w:vAlign w:val="center"/>
          </w:tcPr>
          <w:p w14:paraId="67728D4E" w14:textId="3BEF2454"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&lt;0.05</w:t>
            </w:r>
          </w:p>
        </w:tc>
        <w:tc>
          <w:tcPr>
            <w:tcW w:w="1306" w:type="dxa"/>
            <w:tcBorders>
              <w:bottom w:val="single" w:sz="4" w:space="0" w:color="auto"/>
            </w:tcBorders>
            <w:vAlign w:val="center"/>
          </w:tcPr>
          <w:p w14:paraId="30A3E92A" w14:textId="78EE1C2E"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0.448</w:t>
            </w:r>
          </w:p>
        </w:tc>
        <w:tc>
          <w:tcPr>
            <w:tcW w:w="1863" w:type="dxa"/>
            <w:tcBorders>
              <w:bottom w:val="single" w:sz="4" w:space="0" w:color="auto"/>
            </w:tcBorders>
            <w:vAlign w:val="center"/>
          </w:tcPr>
          <w:p w14:paraId="1B34C574" w14:textId="2D1A512D"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&lt;0.05</w:t>
            </w:r>
          </w:p>
        </w:tc>
        <w:tc>
          <w:tcPr>
            <w:tcW w:w="1679" w:type="dxa"/>
            <w:tcBorders>
              <w:bottom w:val="single" w:sz="4" w:space="0" w:color="auto"/>
            </w:tcBorders>
            <w:vAlign w:val="center"/>
          </w:tcPr>
          <w:p w14:paraId="5287BAC5" w14:textId="71BADE70" w:rsidR="00CB07BB" w:rsidRPr="004E7EEA" w:rsidRDefault="00CB07BB" w:rsidP="004E7EEA">
            <w:pPr>
              <w:spacing w:after="0" w:line="240" w:lineRule="auto"/>
              <w:jc w:val="center"/>
              <w:rPr>
                <w:rFonts w:ascii="Verdana" w:eastAsia="SimSun" w:hAnsi="Verdana" w:cs="Times New Roman"/>
                <w:b/>
                <w:sz w:val="18"/>
                <w:szCs w:val="18"/>
                <w:lang w:val="en-US"/>
              </w:rPr>
            </w:pPr>
            <w:r w:rsidRPr="004E7EEA">
              <w:rPr>
                <w:rFonts w:ascii="Verdana" w:eastAsia="SimSun" w:hAnsi="Verdana" w:cs="Times New Roman"/>
                <w:b/>
                <w:sz w:val="18"/>
                <w:szCs w:val="18"/>
                <w:lang w:val="en-US"/>
              </w:rPr>
              <w:t>0.392</w:t>
            </w:r>
          </w:p>
        </w:tc>
      </w:tr>
    </w:tbl>
    <w:p w14:paraId="31CFBCFD" w14:textId="77777777" w:rsidR="004E7EEA" w:rsidRDefault="004E7EEA" w:rsidP="004E7EEA">
      <w:pPr>
        <w:spacing w:after="0" w:line="240" w:lineRule="auto"/>
        <w:jc w:val="both"/>
        <w:rPr>
          <w:rFonts w:ascii="Verdana" w:hAnsi="Verdana" w:cstheme="minorHAnsi"/>
          <w:noProof/>
          <w:lang w:val="en-GB"/>
        </w:rPr>
      </w:pPr>
    </w:p>
    <w:p w14:paraId="0B99DD62" w14:textId="3B84CCDD" w:rsidR="0046741C" w:rsidRDefault="00E66F8A" w:rsidP="004E7EEA">
      <w:pPr>
        <w:spacing w:after="0" w:line="240" w:lineRule="auto"/>
        <w:jc w:val="both"/>
        <w:rPr>
          <w:rFonts w:ascii="Verdana" w:hAnsi="Verdana" w:cstheme="minorHAnsi"/>
          <w:noProof/>
          <w:lang w:val="en-GB"/>
        </w:rPr>
      </w:pPr>
      <w:r w:rsidRPr="00E66F8A">
        <w:rPr>
          <w:rFonts w:ascii="Verdana" w:hAnsi="Verdana" w:cstheme="minorHAnsi"/>
          <w:noProof/>
          <w:lang w:val="en-GB"/>
        </w:rPr>
        <w:t>Kendall correlation test do</w:t>
      </w:r>
      <w:r w:rsidR="00D1707C">
        <w:rPr>
          <w:rFonts w:ascii="Verdana" w:hAnsi="Verdana" w:cstheme="minorHAnsi"/>
          <w:noProof/>
          <w:lang w:val="en-GB"/>
        </w:rPr>
        <w:t>es</w:t>
      </w:r>
      <w:r w:rsidRPr="00E66F8A">
        <w:rPr>
          <w:rFonts w:ascii="Verdana" w:hAnsi="Verdana" w:cstheme="minorHAnsi"/>
          <w:noProof/>
          <w:lang w:val="en-GB"/>
        </w:rPr>
        <w:t xml:space="preserve"> not show any collinearity between this index and the variable “Time” both for anchovy and sardine (p-value &gt; 0.05, Tab. 1); </w:t>
      </w:r>
      <w:r w:rsidR="00601A7B">
        <w:rPr>
          <w:rFonts w:ascii="Verdana" w:hAnsi="Verdana" w:cstheme="minorHAnsi"/>
          <w:noProof/>
          <w:lang w:val="en-GB"/>
        </w:rPr>
        <w:t xml:space="preserve">also the </w:t>
      </w:r>
      <w:r w:rsidRPr="00E66F8A">
        <w:rPr>
          <w:rFonts w:ascii="Verdana" w:hAnsi="Verdana" w:cstheme="minorHAnsi"/>
          <w:noProof/>
          <w:lang w:val="en-GB"/>
        </w:rPr>
        <w:t>linear model do</w:t>
      </w:r>
      <w:r w:rsidR="00601A7B">
        <w:rPr>
          <w:rFonts w:ascii="Verdana" w:hAnsi="Verdana" w:cstheme="minorHAnsi"/>
          <w:noProof/>
          <w:lang w:val="en-GB"/>
        </w:rPr>
        <w:t>es</w:t>
      </w:r>
      <w:r w:rsidRPr="00E66F8A">
        <w:rPr>
          <w:rFonts w:ascii="Verdana" w:hAnsi="Verdana" w:cstheme="minorHAnsi"/>
          <w:noProof/>
          <w:lang w:val="en-GB"/>
        </w:rPr>
        <w:t xml:space="preserve"> not indicate any effect of time on the reproductive cycle of the small pelagics (p-value &gt; 0.05, Tab. 1). The SST values vary between the mean of 11.</w:t>
      </w:r>
      <w:r w:rsidR="00C2549D">
        <w:rPr>
          <w:rFonts w:ascii="Verdana" w:hAnsi="Verdana" w:cstheme="minorHAnsi"/>
          <w:noProof/>
          <w:lang w:val="en-GB"/>
        </w:rPr>
        <w:t>6</w:t>
      </w:r>
      <w:r w:rsidRPr="00E66F8A">
        <w:rPr>
          <w:rFonts w:ascii="Verdana" w:hAnsi="Verdana" w:cstheme="minorHAnsi"/>
          <w:noProof/>
          <w:lang w:val="en-GB"/>
        </w:rPr>
        <w:t xml:space="preserve"> °C of March 2011 and 26.</w:t>
      </w:r>
      <w:r w:rsidR="00C2549D">
        <w:rPr>
          <w:rFonts w:ascii="Verdana" w:hAnsi="Verdana" w:cstheme="minorHAnsi"/>
          <w:noProof/>
          <w:lang w:val="en-GB"/>
        </w:rPr>
        <w:t>4</w:t>
      </w:r>
      <w:r w:rsidRPr="00E66F8A">
        <w:rPr>
          <w:rFonts w:ascii="Verdana" w:hAnsi="Verdana" w:cstheme="minorHAnsi"/>
          <w:noProof/>
          <w:lang w:val="en-GB"/>
        </w:rPr>
        <w:t xml:space="preserve"> °C of July 2022. This variable do</w:t>
      </w:r>
      <w:r w:rsidR="00D1707C">
        <w:rPr>
          <w:rFonts w:ascii="Verdana" w:hAnsi="Verdana" w:cstheme="minorHAnsi"/>
          <w:noProof/>
          <w:lang w:val="en-GB"/>
        </w:rPr>
        <w:t>es</w:t>
      </w:r>
      <w:r w:rsidRPr="00E66F8A">
        <w:rPr>
          <w:rFonts w:ascii="Verdana" w:hAnsi="Verdana" w:cstheme="minorHAnsi"/>
          <w:noProof/>
          <w:lang w:val="en-GB"/>
        </w:rPr>
        <w:t xml:space="preserve"> not show any collinearity or influence on anchovy GSI (p-value &gt; 0.05, Tab. 1); on the other hand, it seems to have a significant inverse relationship with sardine gonadal maturation, indicating that as the temperature increases, the GSI decreases (p-value &lt; 0.05, Tab.1) and vice</w:t>
      </w:r>
      <w:r w:rsidR="00D1707C">
        <w:rPr>
          <w:rFonts w:ascii="Verdana" w:hAnsi="Verdana" w:cstheme="minorHAnsi"/>
          <w:noProof/>
          <w:lang w:val="en-GB"/>
        </w:rPr>
        <w:t>-</w:t>
      </w:r>
      <w:r w:rsidRPr="00E66F8A">
        <w:rPr>
          <w:rFonts w:ascii="Verdana" w:hAnsi="Verdana" w:cstheme="minorHAnsi"/>
          <w:noProof/>
          <w:lang w:val="en-GB"/>
        </w:rPr>
        <w:t>versa. Linear model validates the correlation between the variables (p-value &lt; 0.05, Tab.1). Regarding Chlorophyll a, a slightly inverse relationship (p-value &lt; 0.05, Tab.1) and a low but significant effect (p-value &lt; 0.05, Tab.1) is detected for anchovy GSI; this variable has a stronger direct relationship on sardine gonadal maturation (p-value &lt; 0.05, Tab.1).</w:t>
      </w:r>
      <w:r w:rsidR="00136CF4">
        <w:rPr>
          <w:rFonts w:ascii="Verdana" w:hAnsi="Verdana" w:cstheme="minorHAnsi"/>
          <w:noProof/>
          <w:lang w:val="en-GB"/>
        </w:rPr>
        <w:t xml:space="preserve"> </w:t>
      </w:r>
      <w:r w:rsidR="00136CF4" w:rsidRPr="00136CF4">
        <w:rPr>
          <w:rFonts w:ascii="Verdana" w:hAnsi="Verdana" w:cstheme="minorHAnsi"/>
          <w:noProof/>
          <w:lang w:val="en-GB"/>
        </w:rPr>
        <w:t>Statistical analysis did not show any significant change</w:t>
      </w:r>
      <w:r w:rsidR="00BA295C">
        <w:rPr>
          <w:rFonts w:ascii="Verdana" w:hAnsi="Verdana" w:cstheme="minorHAnsi"/>
          <w:noProof/>
          <w:lang w:val="en-GB"/>
        </w:rPr>
        <w:t>s</w:t>
      </w:r>
      <w:r w:rsidR="00136CF4" w:rsidRPr="00136CF4">
        <w:rPr>
          <w:rFonts w:ascii="Verdana" w:hAnsi="Verdana" w:cstheme="minorHAnsi"/>
          <w:noProof/>
          <w:lang w:val="en-GB"/>
        </w:rPr>
        <w:t xml:space="preserve"> of small pelagics GSI over the 3 years. Nonetheless, anchovy shows some differences in gonadal development through the investigated period; in particular, a general decrease of GSI in 2022 can be noticed (Fig</w:t>
      </w:r>
      <w:r w:rsidR="00BA295C">
        <w:rPr>
          <w:rFonts w:ascii="Verdana" w:hAnsi="Verdana" w:cstheme="minorHAnsi"/>
          <w:noProof/>
          <w:lang w:val="en-GB"/>
        </w:rPr>
        <w:t>.</w:t>
      </w:r>
      <w:r w:rsidR="00136CF4" w:rsidRPr="00136CF4">
        <w:rPr>
          <w:rFonts w:ascii="Verdana" w:hAnsi="Verdana" w:cstheme="minorHAnsi"/>
          <w:noProof/>
          <w:lang w:val="en-GB"/>
        </w:rPr>
        <w:t xml:space="preserve"> 1),</w:t>
      </w:r>
      <w:r w:rsidR="00110400">
        <w:rPr>
          <w:rFonts w:ascii="Verdana" w:hAnsi="Verdana" w:cstheme="minorHAnsi"/>
          <w:noProof/>
          <w:lang w:val="en-GB"/>
        </w:rPr>
        <w:t xml:space="preserve"> </w:t>
      </w:r>
      <w:r w:rsidR="00136CF4" w:rsidRPr="00136CF4">
        <w:rPr>
          <w:rFonts w:ascii="Verdana" w:hAnsi="Verdana" w:cstheme="minorHAnsi"/>
          <w:noProof/>
          <w:lang w:val="en-GB"/>
        </w:rPr>
        <w:t>while the line plot highlights a gradual decrease of GSI peaks over the years.</w:t>
      </w:r>
    </w:p>
    <w:p w14:paraId="285B1BFA" w14:textId="12D95FFB" w:rsidR="0046741C" w:rsidRPr="003E4B7C" w:rsidRDefault="0046741C" w:rsidP="004E7EEA">
      <w:pPr>
        <w:spacing w:after="0" w:line="240" w:lineRule="auto"/>
        <w:jc w:val="both"/>
        <w:rPr>
          <w:rFonts w:ascii="Verdana" w:hAnsi="Verdana" w:cstheme="minorHAnsi"/>
          <w:noProof/>
          <w:sz w:val="18"/>
          <w:szCs w:val="18"/>
          <w:lang w:val="en-GB"/>
        </w:rPr>
      </w:pPr>
    </w:p>
    <w:p w14:paraId="12E0FE6F" w14:textId="74862F52" w:rsidR="006533BE" w:rsidRPr="003E4B7C" w:rsidRDefault="00E34C93" w:rsidP="004E7EEA">
      <w:pPr>
        <w:spacing w:after="0" w:line="240" w:lineRule="auto"/>
        <w:ind w:left="709" w:hanging="709"/>
        <w:jc w:val="both"/>
        <w:rPr>
          <w:rFonts w:ascii="Verdana" w:eastAsia="SimSun" w:hAnsi="Verdana" w:cs="Times New Roman"/>
          <w:sz w:val="18"/>
          <w:szCs w:val="18"/>
          <w:lang w:val="en-US"/>
        </w:rPr>
      </w:pPr>
      <w:r w:rsidRPr="003E4B7C">
        <w:rPr>
          <w:rFonts w:ascii="Verdana" w:hAnsi="Verdana" w:cstheme="minorHAnsi"/>
          <w:noProof/>
          <w:sz w:val="18"/>
          <w:szCs w:val="18"/>
          <w:lang w:val="en-GB"/>
        </w:rPr>
        <w:lastRenderedPageBreak/>
        <w:drawing>
          <wp:anchor distT="0" distB="0" distL="114300" distR="114300" simplePos="0" relativeHeight="251658240" behindDoc="0" locked="1" layoutInCell="1" allowOverlap="1" wp14:anchorId="429E2354" wp14:editId="65F9FE32">
            <wp:simplePos x="0" y="0"/>
            <wp:positionH relativeFrom="column">
              <wp:posOffset>3810</wp:posOffset>
            </wp:positionH>
            <wp:positionV relativeFrom="paragraph">
              <wp:posOffset>-103505</wp:posOffset>
            </wp:positionV>
            <wp:extent cx="6119495" cy="24765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xplot.png"/>
                    <pic:cNvPicPr/>
                  </pic:nvPicPr>
                  <pic:blipFill rotWithShape="1">
                    <a:blip r:embed="rId9" cstate="print">
                      <a:extLst>
                        <a:ext uri="{28A0092B-C50C-407E-A947-70E740481C1C}">
                          <a14:useLocalDpi xmlns:a14="http://schemas.microsoft.com/office/drawing/2010/main" val="0"/>
                        </a:ext>
                      </a:extLst>
                    </a:blip>
                    <a:srcRect t="12728" b="15329"/>
                    <a:stretch/>
                  </pic:blipFill>
                  <pic:spPr bwMode="auto">
                    <a:xfrm>
                      <a:off x="0" y="0"/>
                      <a:ext cx="6119495" cy="2476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33BE" w:rsidRPr="003E4B7C">
        <w:rPr>
          <w:rFonts w:ascii="Verdana" w:eastAsia="SimSun" w:hAnsi="Verdana" w:cs="Times New Roman"/>
          <w:sz w:val="18"/>
          <w:szCs w:val="18"/>
          <w:lang w:val="en-US"/>
        </w:rPr>
        <w:t xml:space="preserve">Fig. 1 - (a) </w:t>
      </w:r>
      <w:r w:rsidR="00BF0A59" w:rsidRPr="003E4B7C">
        <w:rPr>
          <w:rFonts w:ascii="Verdana" w:eastAsia="SimSun" w:hAnsi="Verdana" w:cs="Times New Roman"/>
          <w:sz w:val="18"/>
          <w:szCs w:val="18"/>
          <w:lang w:val="en-US"/>
        </w:rPr>
        <w:t>Box-plot of the seasonal variation of</w:t>
      </w:r>
      <w:r w:rsidR="00A1569F" w:rsidRPr="003E4B7C">
        <w:rPr>
          <w:rFonts w:ascii="Verdana" w:eastAsia="SimSun" w:hAnsi="Verdana" w:cs="Times New Roman"/>
          <w:sz w:val="18"/>
          <w:szCs w:val="18"/>
          <w:lang w:val="en-US"/>
        </w:rPr>
        <w:t xml:space="preserve"> </w:t>
      </w:r>
      <w:r w:rsidR="00BF0A59" w:rsidRPr="003E4B7C">
        <w:rPr>
          <w:rFonts w:ascii="Verdana" w:eastAsia="SimSun" w:hAnsi="Verdana" w:cs="Times New Roman"/>
          <w:sz w:val="18"/>
          <w:szCs w:val="18"/>
          <w:lang w:val="en-US"/>
        </w:rPr>
        <w:t>anchovy GSI</w:t>
      </w:r>
      <w:r w:rsidR="006533BE" w:rsidRPr="003E4B7C">
        <w:rPr>
          <w:rFonts w:ascii="Verdana" w:eastAsia="SimSun" w:hAnsi="Verdana" w:cs="Times New Roman"/>
          <w:sz w:val="18"/>
          <w:szCs w:val="18"/>
          <w:lang w:val="en-US"/>
        </w:rPr>
        <w:t>; (b)</w:t>
      </w:r>
      <w:r w:rsidR="00B8555B">
        <w:rPr>
          <w:rFonts w:ascii="Verdana" w:eastAsia="SimSun" w:hAnsi="Verdana" w:cs="Times New Roman"/>
          <w:sz w:val="18"/>
          <w:szCs w:val="18"/>
          <w:lang w:val="en-US"/>
        </w:rPr>
        <w:t xml:space="preserve"> </w:t>
      </w:r>
      <w:r w:rsidR="00BF0A59" w:rsidRPr="003E4B7C">
        <w:rPr>
          <w:rFonts w:ascii="Verdana" w:eastAsia="SimSun" w:hAnsi="Verdana" w:cs="Times New Roman"/>
          <w:sz w:val="18"/>
          <w:szCs w:val="18"/>
          <w:lang w:val="en-US"/>
        </w:rPr>
        <w:t>Box-plot of the seasonal variation of anchovy GSI</w:t>
      </w:r>
      <w:r w:rsidR="006533BE" w:rsidRPr="003E4B7C">
        <w:rPr>
          <w:rFonts w:ascii="Verdana" w:eastAsia="SimSun" w:hAnsi="Verdana" w:cs="Times New Roman"/>
          <w:sz w:val="18"/>
          <w:szCs w:val="18"/>
          <w:lang w:val="en-US"/>
        </w:rPr>
        <w:t>.</w:t>
      </w:r>
    </w:p>
    <w:p w14:paraId="28C8C352" w14:textId="1FA1601D" w:rsidR="00D90241" w:rsidRPr="004E7EEA" w:rsidRDefault="00D05958" w:rsidP="004E7EEA">
      <w:pPr>
        <w:keepNext/>
        <w:keepLines/>
        <w:spacing w:after="0" w:line="240" w:lineRule="auto"/>
        <w:ind w:left="709"/>
        <w:jc w:val="both"/>
        <w:rPr>
          <w:rFonts w:ascii="Verdana" w:eastAsia="SimSun" w:hAnsi="Verdana" w:cs="Times New Roman"/>
          <w:i/>
          <w:iCs/>
          <w:sz w:val="18"/>
          <w:szCs w:val="18"/>
        </w:rPr>
      </w:pPr>
      <w:r w:rsidRPr="004E7EEA">
        <w:rPr>
          <w:rFonts w:ascii="Verdana" w:eastAsia="SimSun" w:hAnsi="Verdana" w:cs="Times New Roman"/>
          <w:i/>
          <w:iCs/>
          <w:sz w:val="18"/>
          <w:szCs w:val="18"/>
        </w:rPr>
        <w:t xml:space="preserve">(a) </w:t>
      </w:r>
      <w:r w:rsidR="002F181A" w:rsidRPr="004E7EEA">
        <w:rPr>
          <w:rFonts w:ascii="Verdana" w:eastAsia="SimSun" w:hAnsi="Verdana" w:cs="Times New Roman"/>
          <w:i/>
          <w:iCs/>
          <w:sz w:val="18"/>
          <w:szCs w:val="18"/>
        </w:rPr>
        <w:t>Box-plot della variazione stagionale del GSI dell’a</w:t>
      </w:r>
      <w:r w:rsidR="009B4441" w:rsidRPr="004E7EEA">
        <w:rPr>
          <w:rFonts w:ascii="Verdana" w:eastAsia="SimSun" w:hAnsi="Verdana" w:cs="Times New Roman"/>
          <w:i/>
          <w:iCs/>
          <w:sz w:val="18"/>
          <w:szCs w:val="18"/>
        </w:rPr>
        <w:t>cciuga</w:t>
      </w:r>
      <w:r w:rsidR="006533BE" w:rsidRPr="004E7EEA">
        <w:rPr>
          <w:rFonts w:ascii="Verdana" w:eastAsia="SimSun" w:hAnsi="Verdana" w:cs="Times New Roman"/>
          <w:i/>
          <w:iCs/>
          <w:sz w:val="18"/>
          <w:szCs w:val="18"/>
        </w:rPr>
        <w:t>;</w:t>
      </w:r>
      <w:r w:rsidR="00D90241" w:rsidRPr="004E7EEA">
        <w:rPr>
          <w:rFonts w:ascii="Verdana" w:eastAsia="SimSun" w:hAnsi="Verdana" w:cs="Times New Roman"/>
          <w:i/>
          <w:iCs/>
          <w:sz w:val="18"/>
          <w:szCs w:val="18"/>
        </w:rPr>
        <w:t xml:space="preserve"> </w:t>
      </w:r>
      <w:r w:rsidR="006533BE" w:rsidRPr="004E7EEA">
        <w:rPr>
          <w:rFonts w:ascii="Verdana" w:eastAsia="SimSun" w:hAnsi="Verdana" w:cs="Times New Roman"/>
          <w:i/>
          <w:iCs/>
          <w:sz w:val="18"/>
          <w:szCs w:val="18"/>
        </w:rPr>
        <w:t>(b)</w:t>
      </w:r>
      <w:r w:rsidR="00B8555B" w:rsidRPr="004E7EEA">
        <w:rPr>
          <w:rFonts w:ascii="Verdana" w:eastAsia="SimSun" w:hAnsi="Verdana" w:cs="Times New Roman"/>
          <w:i/>
          <w:iCs/>
          <w:sz w:val="18"/>
          <w:szCs w:val="18"/>
        </w:rPr>
        <w:t xml:space="preserve"> </w:t>
      </w:r>
      <w:r w:rsidR="002F181A" w:rsidRPr="004E7EEA">
        <w:rPr>
          <w:rFonts w:ascii="Verdana" w:eastAsia="SimSun" w:hAnsi="Verdana" w:cs="Times New Roman"/>
          <w:i/>
          <w:iCs/>
          <w:sz w:val="18"/>
          <w:szCs w:val="18"/>
        </w:rPr>
        <w:t>Box-plot della variazione stagionale del GSI della sardina</w:t>
      </w:r>
      <w:r w:rsidR="006533BE" w:rsidRPr="004E7EEA">
        <w:rPr>
          <w:rFonts w:ascii="Verdana" w:eastAsia="SimSun" w:hAnsi="Verdana" w:cs="Times New Roman"/>
          <w:i/>
          <w:iCs/>
          <w:sz w:val="18"/>
          <w:szCs w:val="18"/>
        </w:rPr>
        <w:t>.</w:t>
      </w:r>
    </w:p>
    <w:p w14:paraId="279AB0D5" w14:textId="116BD7D3" w:rsidR="005029A6" w:rsidRPr="003E4B7C" w:rsidRDefault="005029A6" w:rsidP="004E7EEA">
      <w:pPr>
        <w:spacing w:after="0" w:line="240" w:lineRule="auto"/>
        <w:jc w:val="both"/>
        <w:rPr>
          <w:rFonts w:ascii="Verdana" w:eastAsia="SimSun" w:hAnsi="Verdana" w:cs="Times New Roman"/>
          <w:sz w:val="18"/>
          <w:szCs w:val="18"/>
        </w:rPr>
      </w:pPr>
    </w:p>
    <w:p w14:paraId="2163C7AE" w14:textId="77777777" w:rsidR="004E7EEA" w:rsidRDefault="00E34C93" w:rsidP="004E7EEA">
      <w:pPr>
        <w:keepNext/>
        <w:keepLines/>
        <w:spacing w:after="0" w:line="240" w:lineRule="auto"/>
        <w:ind w:left="765" w:hanging="765"/>
        <w:jc w:val="both"/>
        <w:rPr>
          <w:rFonts w:ascii="Verdana" w:eastAsia="SimSun" w:hAnsi="Verdana" w:cs="Times New Roman"/>
          <w:sz w:val="18"/>
          <w:szCs w:val="18"/>
          <w:lang w:val="en-US"/>
        </w:rPr>
      </w:pPr>
      <w:bookmarkStart w:id="2" w:name="_Hlk148619010"/>
      <w:r w:rsidRPr="003E4B7C">
        <w:rPr>
          <w:rFonts w:ascii="Verdana" w:eastAsia="SimSun" w:hAnsi="Verdana" w:cs="Times New Roman"/>
          <w:noProof/>
          <w:sz w:val="18"/>
          <w:szCs w:val="18"/>
        </w:rPr>
        <w:drawing>
          <wp:anchor distT="0" distB="0" distL="114300" distR="114300" simplePos="0" relativeHeight="251659264" behindDoc="0" locked="1" layoutInCell="1" allowOverlap="1" wp14:anchorId="1FB12950" wp14:editId="1B51E9BE">
            <wp:simplePos x="0" y="0"/>
            <wp:positionH relativeFrom="column">
              <wp:posOffset>3810</wp:posOffset>
            </wp:positionH>
            <wp:positionV relativeFrom="paragraph">
              <wp:posOffset>-37465</wp:posOffset>
            </wp:positionV>
            <wp:extent cx="6120000" cy="251640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plot.png"/>
                    <pic:cNvPicPr/>
                  </pic:nvPicPr>
                  <pic:blipFill rotWithShape="1">
                    <a:blip r:embed="rId10" cstate="print">
                      <a:extLst>
                        <a:ext uri="{28A0092B-C50C-407E-A947-70E740481C1C}">
                          <a14:useLocalDpi xmlns:a14="http://schemas.microsoft.com/office/drawing/2010/main" val="0"/>
                        </a:ext>
                      </a:extLst>
                    </a:blip>
                    <a:srcRect t="12175" b="14776"/>
                    <a:stretch/>
                  </pic:blipFill>
                  <pic:spPr bwMode="auto">
                    <a:xfrm>
                      <a:off x="0" y="0"/>
                      <a:ext cx="6120000" cy="251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20D6" w:rsidRPr="003E4B7C">
        <w:rPr>
          <w:rFonts w:ascii="Verdana" w:eastAsia="SimSun" w:hAnsi="Verdana" w:cs="Times New Roman"/>
          <w:sz w:val="18"/>
          <w:szCs w:val="18"/>
          <w:lang w:val="en-US"/>
        </w:rPr>
        <w:t xml:space="preserve">Fig. </w:t>
      </w:r>
      <w:r w:rsidR="005029A6" w:rsidRPr="003E4B7C">
        <w:rPr>
          <w:rFonts w:ascii="Verdana" w:eastAsia="SimSun" w:hAnsi="Verdana" w:cs="Times New Roman"/>
          <w:sz w:val="18"/>
          <w:szCs w:val="18"/>
          <w:lang w:val="en-US"/>
        </w:rPr>
        <w:t>2</w:t>
      </w:r>
      <w:r w:rsidR="006A20D6" w:rsidRPr="003E4B7C">
        <w:rPr>
          <w:rFonts w:ascii="Verdana" w:eastAsia="SimSun" w:hAnsi="Verdana" w:cs="Times New Roman"/>
          <w:sz w:val="18"/>
          <w:szCs w:val="18"/>
          <w:lang w:val="en-US"/>
        </w:rPr>
        <w:t xml:space="preserve"> - </w:t>
      </w:r>
      <w:r w:rsidR="00D6153F" w:rsidRPr="003E4B7C">
        <w:rPr>
          <w:rFonts w:ascii="Verdana" w:eastAsia="SimSun" w:hAnsi="Verdana" w:cs="Times New Roman"/>
          <w:sz w:val="18"/>
          <w:szCs w:val="18"/>
          <w:lang w:val="en-US"/>
        </w:rPr>
        <w:t>Line-plot</w:t>
      </w:r>
      <w:r w:rsidR="009B4441" w:rsidRPr="003E4B7C">
        <w:rPr>
          <w:rFonts w:ascii="Verdana" w:eastAsia="SimSun" w:hAnsi="Verdana" w:cs="Times New Roman"/>
          <w:sz w:val="18"/>
          <w:szCs w:val="18"/>
          <w:lang w:val="en-US"/>
        </w:rPr>
        <w:t>s</w:t>
      </w:r>
      <w:r w:rsidR="00D6153F" w:rsidRPr="003E4B7C">
        <w:rPr>
          <w:rFonts w:ascii="Verdana" w:eastAsia="SimSun" w:hAnsi="Verdana" w:cs="Times New Roman"/>
          <w:sz w:val="18"/>
          <w:szCs w:val="18"/>
          <w:lang w:val="en-US"/>
        </w:rPr>
        <w:t xml:space="preserve"> of the variation of anchovy</w:t>
      </w:r>
      <w:r w:rsidR="009B4441" w:rsidRPr="003E4B7C">
        <w:rPr>
          <w:rFonts w:ascii="Verdana" w:eastAsia="SimSun" w:hAnsi="Verdana" w:cs="Times New Roman"/>
          <w:sz w:val="18"/>
          <w:szCs w:val="18"/>
          <w:lang w:val="en-US"/>
        </w:rPr>
        <w:t xml:space="preserve"> (a) and sardine (b)</w:t>
      </w:r>
      <w:r w:rsidR="00D6153F" w:rsidRPr="003E4B7C">
        <w:rPr>
          <w:rFonts w:ascii="Verdana" w:eastAsia="SimSun" w:hAnsi="Verdana" w:cs="Times New Roman"/>
          <w:sz w:val="18"/>
          <w:szCs w:val="18"/>
          <w:lang w:val="en-US"/>
        </w:rPr>
        <w:t xml:space="preserve"> GSI over t</w:t>
      </w:r>
      <w:r w:rsidR="009B4441" w:rsidRPr="003E4B7C">
        <w:rPr>
          <w:rFonts w:ascii="Verdana" w:eastAsia="SimSun" w:hAnsi="Verdana" w:cs="Times New Roman"/>
          <w:sz w:val="18"/>
          <w:szCs w:val="18"/>
          <w:lang w:val="en-US"/>
        </w:rPr>
        <w:t>ime</w:t>
      </w:r>
      <w:r w:rsidR="00D6153F" w:rsidRPr="003E4B7C">
        <w:rPr>
          <w:rFonts w:ascii="Verdana" w:eastAsia="SimSun" w:hAnsi="Verdana" w:cs="Times New Roman"/>
          <w:sz w:val="18"/>
          <w:szCs w:val="18"/>
          <w:lang w:val="en-US"/>
        </w:rPr>
        <w:t xml:space="preserve"> </w:t>
      </w:r>
      <w:r w:rsidR="009B4441" w:rsidRPr="003E4B7C">
        <w:rPr>
          <w:rFonts w:ascii="Verdana" w:eastAsia="SimSun" w:hAnsi="Verdana" w:cs="Times New Roman"/>
          <w:sz w:val="18"/>
          <w:szCs w:val="18"/>
          <w:lang w:val="en-US"/>
        </w:rPr>
        <w:t xml:space="preserve">(months and </w:t>
      </w:r>
      <w:r w:rsidR="00D6153F" w:rsidRPr="003E4B7C">
        <w:rPr>
          <w:rFonts w:ascii="Verdana" w:eastAsia="SimSun" w:hAnsi="Verdana" w:cs="Times New Roman"/>
          <w:sz w:val="18"/>
          <w:szCs w:val="18"/>
          <w:lang w:val="en-US"/>
        </w:rPr>
        <w:t>year</w:t>
      </w:r>
      <w:r w:rsidR="009B4441" w:rsidRPr="003E4B7C">
        <w:rPr>
          <w:rFonts w:ascii="Verdana" w:eastAsia="SimSun" w:hAnsi="Verdana" w:cs="Times New Roman"/>
          <w:sz w:val="18"/>
          <w:szCs w:val="18"/>
          <w:lang w:val="en-US"/>
        </w:rPr>
        <w:t>s)</w:t>
      </w:r>
      <w:r w:rsidR="006A20D6" w:rsidRPr="003E4B7C">
        <w:rPr>
          <w:rFonts w:ascii="Verdana" w:eastAsia="SimSun" w:hAnsi="Verdana" w:cs="Times New Roman"/>
          <w:sz w:val="18"/>
          <w:szCs w:val="18"/>
          <w:lang w:val="en-US"/>
        </w:rPr>
        <w:t>.</w:t>
      </w:r>
    </w:p>
    <w:p w14:paraId="68E3B3A7" w14:textId="0BF02FBD" w:rsidR="006A20D6" w:rsidRPr="003E4B7C" w:rsidRDefault="00D6153F" w:rsidP="004E7EEA">
      <w:pPr>
        <w:keepNext/>
        <w:keepLines/>
        <w:spacing w:after="0" w:line="240" w:lineRule="auto"/>
        <w:ind w:left="765" w:hanging="57"/>
        <w:jc w:val="both"/>
        <w:rPr>
          <w:rFonts w:ascii="Verdana" w:eastAsia="SimSun" w:hAnsi="Verdana" w:cs="Times New Roman"/>
          <w:sz w:val="18"/>
          <w:szCs w:val="18"/>
        </w:rPr>
      </w:pPr>
      <w:r w:rsidRPr="004E7EEA">
        <w:rPr>
          <w:rFonts w:ascii="Verdana" w:eastAsia="SimSun" w:hAnsi="Verdana" w:cs="Times New Roman"/>
          <w:i/>
          <w:iCs/>
          <w:sz w:val="18"/>
          <w:szCs w:val="18"/>
        </w:rPr>
        <w:t>Grafic</w:t>
      </w:r>
      <w:r w:rsidR="00EE0898" w:rsidRPr="004E7EEA">
        <w:rPr>
          <w:rFonts w:ascii="Verdana" w:eastAsia="SimSun" w:hAnsi="Verdana" w:cs="Times New Roman"/>
          <w:i/>
          <w:iCs/>
          <w:sz w:val="18"/>
          <w:szCs w:val="18"/>
        </w:rPr>
        <w:t>i</w:t>
      </w:r>
      <w:r w:rsidRPr="004E7EEA">
        <w:rPr>
          <w:rFonts w:ascii="Verdana" w:eastAsia="SimSun" w:hAnsi="Verdana" w:cs="Times New Roman"/>
          <w:i/>
          <w:iCs/>
          <w:sz w:val="18"/>
          <w:szCs w:val="18"/>
        </w:rPr>
        <w:t xml:space="preserve"> a linee della variazione del GSI dell’a</w:t>
      </w:r>
      <w:r w:rsidR="009B4441" w:rsidRPr="004E7EEA">
        <w:rPr>
          <w:rFonts w:ascii="Verdana" w:eastAsia="SimSun" w:hAnsi="Verdana" w:cs="Times New Roman"/>
          <w:i/>
          <w:iCs/>
          <w:sz w:val="18"/>
          <w:szCs w:val="18"/>
        </w:rPr>
        <w:t>cciuga</w:t>
      </w:r>
      <w:r w:rsidR="00EE0898" w:rsidRPr="004E7EEA">
        <w:rPr>
          <w:rFonts w:ascii="Verdana" w:eastAsia="SimSun" w:hAnsi="Verdana" w:cs="Times New Roman"/>
          <w:i/>
          <w:iCs/>
          <w:sz w:val="18"/>
          <w:szCs w:val="18"/>
        </w:rPr>
        <w:t xml:space="preserve"> (a) e della sardina (b)</w:t>
      </w:r>
      <w:r w:rsidRPr="004E7EEA">
        <w:rPr>
          <w:rFonts w:ascii="Verdana" w:eastAsia="SimSun" w:hAnsi="Verdana" w:cs="Times New Roman"/>
          <w:i/>
          <w:iCs/>
          <w:sz w:val="18"/>
          <w:szCs w:val="18"/>
        </w:rPr>
        <w:t xml:space="preserve"> nell’arco dell’anno</w:t>
      </w:r>
      <w:r w:rsidR="006A20D6" w:rsidRPr="004E7EEA">
        <w:rPr>
          <w:rFonts w:ascii="Verdana" w:eastAsia="SimSun" w:hAnsi="Verdana" w:cs="Times New Roman"/>
          <w:i/>
          <w:iCs/>
          <w:sz w:val="18"/>
          <w:szCs w:val="18"/>
        </w:rPr>
        <w:t>.</w:t>
      </w:r>
    </w:p>
    <w:bookmarkEnd w:id="2"/>
    <w:p w14:paraId="28C37EDB" w14:textId="6EE64F74" w:rsidR="006A20D6" w:rsidRDefault="006A20D6" w:rsidP="004E7EEA">
      <w:pPr>
        <w:spacing w:after="0" w:line="240" w:lineRule="auto"/>
        <w:jc w:val="both"/>
        <w:rPr>
          <w:rFonts w:ascii="Verdana" w:hAnsi="Verdana" w:cstheme="minorHAnsi"/>
          <w:noProof/>
        </w:rPr>
      </w:pPr>
    </w:p>
    <w:p w14:paraId="2A546099" w14:textId="3CEAB75F" w:rsidR="006147BC" w:rsidRPr="006147BC" w:rsidRDefault="00936E02" w:rsidP="00EF6C09">
      <w:pPr>
        <w:spacing w:after="0" w:line="240" w:lineRule="auto"/>
        <w:ind w:firstLine="284"/>
        <w:jc w:val="both"/>
        <w:rPr>
          <w:rFonts w:ascii="Verdana" w:hAnsi="Verdana" w:cstheme="minorHAnsi"/>
          <w:noProof/>
          <w:lang w:val="en-GB"/>
        </w:rPr>
      </w:pPr>
      <w:r>
        <w:rPr>
          <w:rFonts w:ascii="Verdana" w:hAnsi="Verdana" w:cstheme="minorHAnsi"/>
          <w:b/>
          <w:bCs/>
          <w:noProof/>
          <w:lang w:val="en-GB"/>
        </w:rPr>
        <w:t>Conclusions</w:t>
      </w:r>
      <w:r w:rsidR="00983705" w:rsidRPr="00983705">
        <w:rPr>
          <w:rFonts w:ascii="Verdana" w:hAnsi="Verdana" w:cstheme="minorHAnsi"/>
          <w:noProof/>
          <w:lang w:val="en-GB"/>
        </w:rPr>
        <w:t xml:space="preserve"> - </w:t>
      </w:r>
      <w:r w:rsidR="006147BC" w:rsidRPr="006147BC">
        <w:rPr>
          <w:rFonts w:ascii="Verdana" w:hAnsi="Verdana" w:cstheme="minorHAnsi"/>
          <w:noProof/>
          <w:lang w:val="en-GB"/>
        </w:rPr>
        <w:t xml:space="preserve">The results </w:t>
      </w:r>
      <w:r w:rsidR="00EE0898">
        <w:rPr>
          <w:rFonts w:ascii="Verdana" w:hAnsi="Verdana" w:cstheme="minorHAnsi"/>
          <w:noProof/>
          <w:lang w:val="en-GB"/>
        </w:rPr>
        <w:t xml:space="preserve">of the present study </w:t>
      </w:r>
      <w:r w:rsidR="006147BC" w:rsidRPr="006147BC">
        <w:rPr>
          <w:rFonts w:ascii="Verdana" w:hAnsi="Verdana" w:cstheme="minorHAnsi"/>
          <w:noProof/>
          <w:lang w:val="en-GB"/>
        </w:rPr>
        <w:t>are co</w:t>
      </w:r>
      <w:r w:rsidR="00EE0898">
        <w:rPr>
          <w:rFonts w:ascii="Verdana" w:hAnsi="Verdana" w:cstheme="minorHAnsi"/>
          <w:noProof/>
          <w:lang w:val="en-GB"/>
        </w:rPr>
        <w:t>nsistent</w:t>
      </w:r>
      <w:r w:rsidR="006147BC" w:rsidRPr="006147BC">
        <w:rPr>
          <w:rFonts w:ascii="Verdana" w:hAnsi="Verdana" w:cstheme="minorHAnsi"/>
          <w:noProof/>
          <w:lang w:val="en-GB"/>
        </w:rPr>
        <w:t xml:space="preserve"> with a marked </w:t>
      </w:r>
      <w:r w:rsidR="00803F06">
        <w:rPr>
          <w:rFonts w:ascii="Verdana" w:hAnsi="Verdana" w:cstheme="minorHAnsi"/>
          <w:noProof/>
          <w:lang w:val="en-GB"/>
        </w:rPr>
        <w:t>reduction</w:t>
      </w:r>
      <w:r w:rsidR="006147BC" w:rsidRPr="006147BC">
        <w:rPr>
          <w:rFonts w:ascii="Verdana" w:hAnsi="Verdana" w:cstheme="minorHAnsi"/>
          <w:noProof/>
          <w:lang w:val="en-GB"/>
        </w:rPr>
        <w:t xml:space="preserve"> of </w:t>
      </w:r>
      <w:r w:rsidR="00DF7C32">
        <w:rPr>
          <w:rFonts w:ascii="Verdana" w:hAnsi="Verdana" w:cstheme="minorHAnsi"/>
          <w:noProof/>
          <w:lang w:val="en-GB"/>
        </w:rPr>
        <w:t xml:space="preserve">anchovy </w:t>
      </w:r>
      <w:r w:rsidR="006147BC" w:rsidRPr="006147BC">
        <w:rPr>
          <w:rFonts w:ascii="Verdana" w:hAnsi="Verdana" w:cstheme="minorHAnsi"/>
          <w:noProof/>
          <w:lang w:val="en-GB"/>
        </w:rPr>
        <w:t>spawning stock biomass estimated</w:t>
      </w:r>
      <w:r w:rsidR="00D27800">
        <w:rPr>
          <w:rFonts w:ascii="Verdana" w:hAnsi="Verdana" w:cstheme="minorHAnsi"/>
          <w:noProof/>
          <w:lang w:val="en-GB"/>
        </w:rPr>
        <w:t xml:space="preserve"> in</w:t>
      </w:r>
      <w:r w:rsidR="006147BC" w:rsidRPr="006147BC">
        <w:rPr>
          <w:rFonts w:ascii="Verdana" w:hAnsi="Verdana" w:cstheme="minorHAnsi"/>
          <w:noProof/>
          <w:lang w:val="en-GB"/>
        </w:rPr>
        <w:t xml:space="preserve"> </w:t>
      </w:r>
      <w:r w:rsidR="000B3925">
        <w:rPr>
          <w:rFonts w:ascii="Verdana" w:hAnsi="Verdana" w:cstheme="minorHAnsi"/>
          <w:noProof/>
          <w:lang w:val="en-GB"/>
        </w:rPr>
        <w:t xml:space="preserve">the </w:t>
      </w:r>
      <w:r w:rsidR="006147BC" w:rsidRPr="006147BC">
        <w:rPr>
          <w:rFonts w:ascii="Verdana" w:hAnsi="Verdana" w:cstheme="minorHAnsi"/>
          <w:noProof/>
          <w:lang w:val="en-GB"/>
        </w:rPr>
        <w:t xml:space="preserve">latest assessments </w:t>
      </w:r>
      <w:r w:rsidR="009452A5">
        <w:rPr>
          <w:rFonts w:ascii="Verdana" w:hAnsi="Verdana" w:cstheme="minorHAnsi"/>
          <w:noProof/>
          <w:lang w:val="en-GB"/>
        </w:rPr>
        <w:t>and a general decrease in</w:t>
      </w:r>
      <w:r w:rsidR="00DF7C32">
        <w:rPr>
          <w:rFonts w:ascii="Verdana" w:hAnsi="Verdana" w:cstheme="minorHAnsi"/>
          <w:noProof/>
          <w:lang w:val="en-GB"/>
        </w:rPr>
        <w:t xml:space="preserve"> body condition </w:t>
      </w:r>
      <w:r w:rsidR="00DF7C32" w:rsidRPr="006147BC">
        <w:rPr>
          <w:rFonts w:ascii="Verdana" w:hAnsi="Verdana" w:cstheme="minorHAnsi"/>
          <w:noProof/>
          <w:lang w:val="en-GB"/>
        </w:rPr>
        <w:t>of the species</w:t>
      </w:r>
      <w:r w:rsidR="00DF7C32">
        <w:rPr>
          <w:rFonts w:ascii="Verdana" w:hAnsi="Verdana" w:cstheme="minorHAnsi"/>
          <w:noProof/>
          <w:lang w:val="en-GB"/>
        </w:rPr>
        <w:t xml:space="preserve"> observed by Brosset </w:t>
      </w:r>
      <w:r w:rsidR="00DF7C32" w:rsidRPr="00661D48">
        <w:rPr>
          <w:rFonts w:ascii="Verdana" w:hAnsi="Verdana" w:cstheme="minorHAnsi"/>
          <w:i/>
          <w:noProof/>
          <w:lang w:val="en-GB"/>
        </w:rPr>
        <w:t>et al</w:t>
      </w:r>
      <w:r w:rsidR="00DF7C32">
        <w:rPr>
          <w:rFonts w:ascii="Verdana" w:hAnsi="Verdana" w:cstheme="minorHAnsi"/>
          <w:noProof/>
          <w:lang w:val="en-GB"/>
        </w:rPr>
        <w:t>., 2017 within the same period</w:t>
      </w:r>
      <w:r w:rsidR="006147BC" w:rsidRPr="006147BC">
        <w:rPr>
          <w:rFonts w:ascii="Verdana" w:hAnsi="Verdana" w:cstheme="minorHAnsi"/>
          <w:noProof/>
          <w:lang w:val="en-GB"/>
        </w:rPr>
        <w:t xml:space="preserve">. Regarding sardine, a shift in gonadal development seasonality can be </w:t>
      </w:r>
      <w:r w:rsidR="00EE0898">
        <w:rPr>
          <w:rFonts w:ascii="Verdana" w:hAnsi="Verdana" w:cstheme="minorHAnsi"/>
          <w:noProof/>
          <w:lang w:val="en-GB"/>
        </w:rPr>
        <w:t>assumed</w:t>
      </w:r>
      <w:r w:rsidR="006147BC" w:rsidRPr="006147BC">
        <w:rPr>
          <w:rFonts w:ascii="Verdana" w:hAnsi="Verdana" w:cstheme="minorHAnsi"/>
          <w:noProof/>
          <w:lang w:val="en-GB"/>
        </w:rPr>
        <w:t xml:space="preserve"> </w:t>
      </w:r>
      <w:r w:rsidR="00EE0898">
        <w:rPr>
          <w:rFonts w:ascii="Verdana" w:hAnsi="Verdana" w:cstheme="minorHAnsi"/>
          <w:noProof/>
          <w:lang w:val="en-GB"/>
        </w:rPr>
        <w:t>in light of the observed</w:t>
      </w:r>
      <w:r w:rsidR="006147BC" w:rsidRPr="006147BC">
        <w:rPr>
          <w:rFonts w:ascii="Verdana" w:hAnsi="Verdana" w:cstheme="minorHAnsi"/>
          <w:noProof/>
          <w:lang w:val="en-GB"/>
        </w:rPr>
        <w:t xml:space="preserve"> inter-annual variations; further analysis is therefore needed to evaluate such hypothesis</w:t>
      </w:r>
      <w:r w:rsidR="00FC29BD">
        <w:rPr>
          <w:rFonts w:ascii="Verdana" w:hAnsi="Verdana" w:cstheme="minorHAnsi"/>
          <w:noProof/>
          <w:lang w:val="en-GB"/>
        </w:rPr>
        <w:t>.</w:t>
      </w:r>
      <w:r w:rsidR="006147BC" w:rsidRPr="006147BC">
        <w:rPr>
          <w:rFonts w:ascii="Verdana" w:hAnsi="Verdana" w:cstheme="minorHAnsi"/>
          <w:noProof/>
          <w:lang w:val="en-GB"/>
        </w:rPr>
        <w:t xml:space="preserve"> </w:t>
      </w:r>
    </w:p>
    <w:p w14:paraId="0FEDC53D" w14:textId="272A95D2" w:rsidR="006147BC" w:rsidRDefault="006147BC" w:rsidP="004E7EEA">
      <w:pPr>
        <w:spacing w:after="0" w:line="240" w:lineRule="auto"/>
        <w:jc w:val="both"/>
        <w:rPr>
          <w:rFonts w:ascii="Verdana" w:hAnsi="Verdana" w:cstheme="minorHAnsi"/>
          <w:noProof/>
          <w:lang w:val="en-GB"/>
        </w:rPr>
      </w:pPr>
      <w:r w:rsidRPr="006147BC">
        <w:rPr>
          <w:rFonts w:ascii="Verdana" w:hAnsi="Verdana" w:cstheme="minorHAnsi"/>
          <w:noProof/>
          <w:lang w:val="en-GB"/>
        </w:rPr>
        <w:t>Sea surface temperature is considered one of main drivers that regulate</w:t>
      </w:r>
      <w:r w:rsidR="00EE0898">
        <w:rPr>
          <w:rFonts w:ascii="Verdana" w:hAnsi="Verdana" w:cstheme="minorHAnsi"/>
          <w:noProof/>
          <w:lang w:val="en-GB"/>
        </w:rPr>
        <w:t>s</w:t>
      </w:r>
      <w:r w:rsidRPr="006147BC">
        <w:rPr>
          <w:rFonts w:ascii="Verdana" w:hAnsi="Verdana" w:cstheme="minorHAnsi"/>
          <w:noProof/>
          <w:lang w:val="en-GB"/>
        </w:rPr>
        <w:t xml:space="preserve"> small pelagics spawning in</w:t>
      </w:r>
      <w:r w:rsidR="000B3925">
        <w:rPr>
          <w:rFonts w:ascii="Verdana" w:hAnsi="Verdana" w:cstheme="minorHAnsi"/>
          <w:noProof/>
          <w:lang w:val="en-GB"/>
        </w:rPr>
        <w:t xml:space="preserve"> the</w:t>
      </w:r>
      <w:r w:rsidRPr="006147BC">
        <w:rPr>
          <w:rFonts w:ascii="Verdana" w:hAnsi="Verdana" w:cstheme="minorHAnsi"/>
          <w:noProof/>
          <w:lang w:val="en-GB"/>
        </w:rPr>
        <w:t xml:space="preserve"> Adriatic Sea (Fernández-Corredor </w:t>
      </w:r>
      <w:r w:rsidRPr="00661D48">
        <w:rPr>
          <w:rFonts w:ascii="Verdana" w:hAnsi="Verdana" w:cstheme="minorHAnsi"/>
          <w:i/>
          <w:noProof/>
          <w:lang w:val="en-GB"/>
        </w:rPr>
        <w:t>et al</w:t>
      </w:r>
      <w:r w:rsidRPr="006147BC">
        <w:rPr>
          <w:rFonts w:ascii="Verdana" w:hAnsi="Verdana" w:cstheme="minorHAnsi"/>
          <w:noProof/>
          <w:lang w:val="en-GB"/>
        </w:rPr>
        <w:t xml:space="preserve">., 2021). Present results are </w:t>
      </w:r>
      <w:r w:rsidR="00EE0898">
        <w:rPr>
          <w:rFonts w:ascii="Verdana" w:hAnsi="Verdana" w:cstheme="minorHAnsi"/>
          <w:noProof/>
          <w:lang w:val="en-GB"/>
        </w:rPr>
        <w:t>consistent with</w:t>
      </w:r>
      <w:r w:rsidR="007A62DB" w:rsidRPr="007A62DB">
        <w:rPr>
          <w:rFonts w:ascii="Verdana" w:hAnsi="Verdana" w:cstheme="minorHAnsi"/>
          <w:noProof/>
          <w:lang w:val="en-GB"/>
        </w:rPr>
        <w:t xml:space="preserve"> several </w:t>
      </w:r>
      <w:r w:rsidR="00EE0898">
        <w:rPr>
          <w:rFonts w:ascii="Verdana" w:hAnsi="Verdana" w:cstheme="minorHAnsi"/>
          <w:noProof/>
          <w:lang w:val="en-GB"/>
        </w:rPr>
        <w:t>previous works</w:t>
      </w:r>
      <w:r w:rsidR="000B3925" w:rsidRPr="007A62DB">
        <w:rPr>
          <w:rFonts w:ascii="Verdana" w:hAnsi="Verdana" w:cstheme="minorHAnsi"/>
          <w:noProof/>
          <w:lang w:val="en-GB"/>
        </w:rPr>
        <w:t xml:space="preserve"> </w:t>
      </w:r>
      <w:r w:rsidR="00EE0898">
        <w:rPr>
          <w:rFonts w:ascii="Verdana" w:hAnsi="Verdana" w:cstheme="minorHAnsi"/>
          <w:noProof/>
          <w:lang w:val="en-GB"/>
        </w:rPr>
        <w:t xml:space="preserve">on sardine reproduction </w:t>
      </w:r>
      <w:r w:rsidR="007A62DB">
        <w:rPr>
          <w:rFonts w:ascii="Verdana" w:hAnsi="Verdana" w:cstheme="minorHAnsi"/>
          <w:noProof/>
          <w:lang w:val="en-GB"/>
        </w:rPr>
        <w:t>(</w:t>
      </w:r>
      <w:r w:rsidR="007A62DB" w:rsidRPr="007A62DB">
        <w:rPr>
          <w:rFonts w:ascii="Verdana" w:hAnsi="Verdana" w:cstheme="minorHAnsi"/>
          <w:noProof/>
          <w:lang w:val="en-GB"/>
        </w:rPr>
        <w:t xml:space="preserve">Brosset </w:t>
      </w:r>
      <w:r w:rsidR="007A62DB" w:rsidRPr="00661D48">
        <w:rPr>
          <w:rFonts w:ascii="Verdana" w:hAnsi="Verdana" w:cstheme="minorHAnsi"/>
          <w:i/>
          <w:noProof/>
          <w:lang w:val="en-GB"/>
        </w:rPr>
        <w:t>et al</w:t>
      </w:r>
      <w:r w:rsidR="007A62DB" w:rsidRPr="007A62DB">
        <w:rPr>
          <w:rFonts w:ascii="Verdana" w:hAnsi="Verdana" w:cstheme="minorHAnsi"/>
          <w:noProof/>
          <w:lang w:val="en-GB"/>
        </w:rPr>
        <w:t xml:space="preserve">., 2017, </w:t>
      </w:r>
      <w:r w:rsidR="007A62DB" w:rsidRPr="006147BC">
        <w:rPr>
          <w:rFonts w:ascii="Verdana" w:hAnsi="Verdana" w:cstheme="minorHAnsi"/>
          <w:noProof/>
          <w:lang w:val="en-GB"/>
        </w:rPr>
        <w:t xml:space="preserve">Fernández-Corredor </w:t>
      </w:r>
      <w:r w:rsidR="007A62DB" w:rsidRPr="00661D48">
        <w:rPr>
          <w:rFonts w:ascii="Verdana" w:hAnsi="Verdana" w:cstheme="minorHAnsi"/>
          <w:i/>
          <w:noProof/>
          <w:lang w:val="en-GB"/>
        </w:rPr>
        <w:t>et al</w:t>
      </w:r>
      <w:r w:rsidR="007A62DB" w:rsidRPr="006147BC">
        <w:rPr>
          <w:rFonts w:ascii="Verdana" w:hAnsi="Verdana" w:cstheme="minorHAnsi"/>
          <w:noProof/>
          <w:lang w:val="en-GB"/>
        </w:rPr>
        <w:t>., 2021</w:t>
      </w:r>
      <w:r w:rsidR="00FC29BD">
        <w:rPr>
          <w:rFonts w:ascii="Verdana" w:hAnsi="Verdana" w:cstheme="minorHAnsi"/>
          <w:noProof/>
          <w:lang w:val="en-GB"/>
        </w:rPr>
        <w:t xml:space="preserve">, </w:t>
      </w:r>
      <w:r w:rsidR="00FC29BD" w:rsidRPr="00CF0F82">
        <w:rPr>
          <w:rFonts w:ascii="Verdana" w:hAnsi="Verdana" w:cstheme="minorHAnsi"/>
          <w:noProof/>
          <w:lang w:val="en-GB"/>
        </w:rPr>
        <w:t>Caballero-Huertas</w:t>
      </w:r>
      <w:r w:rsidR="00FC29BD">
        <w:rPr>
          <w:rFonts w:ascii="Verdana" w:hAnsi="Verdana" w:cstheme="minorHAnsi"/>
          <w:noProof/>
          <w:lang w:val="en-GB"/>
        </w:rPr>
        <w:t xml:space="preserve"> </w:t>
      </w:r>
      <w:r w:rsidR="00FC29BD" w:rsidRPr="00661D48">
        <w:rPr>
          <w:rFonts w:ascii="Verdana" w:hAnsi="Verdana" w:cstheme="minorHAnsi"/>
          <w:i/>
          <w:noProof/>
          <w:lang w:val="en-GB"/>
        </w:rPr>
        <w:t>et al</w:t>
      </w:r>
      <w:r w:rsidR="00FC29BD">
        <w:rPr>
          <w:rFonts w:ascii="Verdana" w:hAnsi="Verdana" w:cstheme="minorHAnsi"/>
          <w:noProof/>
          <w:lang w:val="en-GB"/>
        </w:rPr>
        <w:t>., 2023</w:t>
      </w:r>
      <w:r w:rsidR="007A62DB">
        <w:rPr>
          <w:rFonts w:ascii="Verdana" w:hAnsi="Verdana" w:cstheme="minorHAnsi"/>
          <w:noProof/>
          <w:lang w:val="en-GB"/>
        </w:rPr>
        <w:t>)</w:t>
      </w:r>
      <w:r w:rsidRPr="006147BC">
        <w:rPr>
          <w:rFonts w:ascii="Verdana" w:hAnsi="Verdana" w:cstheme="minorHAnsi"/>
          <w:noProof/>
          <w:lang w:val="en-GB"/>
        </w:rPr>
        <w:t>, since GSI increase seems to be considerably affected by the decrease of the SST. In this species, in fact, spawning seems to be triggered by the decline in water temperatures and wanes as temperatures rise.</w:t>
      </w:r>
      <w:r w:rsidR="00A379EC">
        <w:rPr>
          <w:rFonts w:ascii="Verdana" w:hAnsi="Verdana" w:cstheme="minorHAnsi"/>
          <w:noProof/>
          <w:lang w:val="en-GB"/>
        </w:rPr>
        <w:t xml:space="preserve"> </w:t>
      </w:r>
      <w:r w:rsidRPr="006147BC">
        <w:rPr>
          <w:rFonts w:ascii="Verdana" w:hAnsi="Verdana" w:cstheme="minorHAnsi"/>
          <w:noProof/>
          <w:lang w:val="en-GB"/>
        </w:rPr>
        <w:t xml:space="preserve">Conversely, a positive correlation between spawning intensity and </w:t>
      </w:r>
      <w:r w:rsidR="00EE0898">
        <w:rPr>
          <w:rFonts w:ascii="Verdana" w:hAnsi="Verdana" w:cstheme="minorHAnsi"/>
          <w:noProof/>
          <w:lang w:val="en-GB"/>
        </w:rPr>
        <w:t>C</w:t>
      </w:r>
      <w:r w:rsidRPr="006147BC">
        <w:rPr>
          <w:rFonts w:ascii="Verdana" w:hAnsi="Verdana" w:cstheme="minorHAnsi"/>
          <w:noProof/>
          <w:lang w:val="en-GB"/>
        </w:rPr>
        <w:t xml:space="preserve">hlorophyll a emerged in this analysis for </w:t>
      </w:r>
      <w:r w:rsidR="00803F06">
        <w:rPr>
          <w:rFonts w:ascii="Verdana" w:hAnsi="Verdana" w:cstheme="minorHAnsi"/>
          <w:noProof/>
          <w:lang w:val="en-GB"/>
        </w:rPr>
        <w:t xml:space="preserve">sardine, while it was very low and negative </w:t>
      </w:r>
      <w:r w:rsidR="00803F06">
        <w:rPr>
          <w:rFonts w:ascii="Verdana" w:hAnsi="Verdana" w:cstheme="minorHAnsi"/>
          <w:noProof/>
          <w:lang w:val="en-GB"/>
        </w:rPr>
        <w:lastRenderedPageBreak/>
        <w:t>in anchovy</w:t>
      </w:r>
      <w:r w:rsidRPr="006147BC">
        <w:rPr>
          <w:rFonts w:ascii="Verdana" w:hAnsi="Verdana" w:cstheme="minorHAnsi"/>
          <w:noProof/>
          <w:lang w:val="en-GB"/>
        </w:rPr>
        <w:t>.</w:t>
      </w:r>
      <w:r w:rsidR="007D3292" w:rsidRPr="007D3292">
        <w:rPr>
          <w:lang w:val="en-US"/>
        </w:rPr>
        <w:t xml:space="preserve"> </w:t>
      </w:r>
      <w:r w:rsidR="007D3292" w:rsidRPr="007D3292">
        <w:rPr>
          <w:rFonts w:ascii="Verdana" w:hAnsi="Verdana" w:cstheme="minorHAnsi"/>
          <w:noProof/>
          <w:lang w:val="en-GB"/>
        </w:rPr>
        <w:t xml:space="preserve">The influence of </w:t>
      </w:r>
      <w:r w:rsidR="00EE0898">
        <w:rPr>
          <w:rFonts w:ascii="Verdana" w:hAnsi="Verdana" w:cstheme="minorHAnsi"/>
          <w:noProof/>
          <w:lang w:val="en-GB"/>
        </w:rPr>
        <w:t>C</w:t>
      </w:r>
      <w:r w:rsidR="007D3292" w:rsidRPr="007D3292">
        <w:rPr>
          <w:rFonts w:ascii="Verdana" w:hAnsi="Verdana" w:cstheme="minorHAnsi"/>
          <w:noProof/>
          <w:lang w:val="en-GB"/>
        </w:rPr>
        <w:t xml:space="preserve">hlorophyll a on sardine </w:t>
      </w:r>
      <w:r w:rsidR="007D3292">
        <w:rPr>
          <w:rFonts w:ascii="Verdana" w:hAnsi="Verdana" w:cstheme="minorHAnsi"/>
          <w:noProof/>
          <w:lang w:val="en-GB"/>
        </w:rPr>
        <w:t xml:space="preserve">reproduction </w:t>
      </w:r>
      <w:r w:rsidR="007D3292" w:rsidRPr="007D3292">
        <w:rPr>
          <w:rFonts w:ascii="Verdana" w:hAnsi="Verdana" w:cstheme="minorHAnsi"/>
          <w:noProof/>
          <w:lang w:val="en-GB"/>
        </w:rPr>
        <w:t xml:space="preserve">can be attributed to the </w:t>
      </w:r>
      <w:r w:rsidR="00E55E98">
        <w:rPr>
          <w:rFonts w:ascii="Verdana" w:hAnsi="Verdana" w:cstheme="minorHAnsi"/>
          <w:noProof/>
          <w:lang w:val="en-GB"/>
        </w:rPr>
        <w:t xml:space="preserve">presence </w:t>
      </w:r>
      <w:r w:rsidR="007D3292" w:rsidRPr="007D3292">
        <w:rPr>
          <w:rFonts w:ascii="Verdana" w:hAnsi="Verdana" w:cstheme="minorHAnsi"/>
          <w:noProof/>
          <w:lang w:val="en-GB"/>
        </w:rPr>
        <w:t>of diatoms</w:t>
      </w:r>
      <w:r w:rsidR="00E55E98">
        <w:rPr>
          <w:rFonts w:ascii="Verdana" w:hAnsi="Verdana" w:cstheme="minorHAnsi"/>
          <w:noProof/>
          <w:lang w:val="en-GB"/>
        </w:rPr>
        <w:t xml:space="preserve"> in</w:t>
      </w:r>
      <w:r w:rsidR="00E55E98" w:rsidRPr="00E55E98">
        <w:rPr>
          <w:rFonts w:ascii="Verdana" w:hAnsi="Verdana" w:cstheme="minorHAnsi"/>
          <w:noProof/>
          <w:lang w:val="en-GB"/>
        </w:rPr>
        <w:t xml:space="preserve"> </w:t>
      </w:r>
      <w:r w:rsidR="00E55E98" w:rsidRPr="007D3292">
        <w:rPr>
          <w:rFonts w:ascii="Verdana" w:hAnsi="Verdana" w:cstheme="minorHAnsi"/>
          <w:noProof/>
          <w:lang w:val="en-GB"/>
        </w:rPr>
        <w:t>sardine</w:t>
      </w:r>
      <w:r w:rsidR="00E55E98">
        <w:rPr>
          <w:rFonts w:ascii="Verdana" w:hAnsi="Verdana" w:cstheme="minorHAnsi"/>
          <w:noProof/>
          <w:lang w:val="en-GB"/>
        </w:rPr>
        <w:t xml:space="preserve"> diet</w:t>
      </w:r>
      <w:r w:rsidR="007D3292">
        <w:rPr>
          <w:rFonts w:ascii="Verdana" w:hAnsi="Verdana" w:cstheme="minorHAnsi"/>
          <w:noProof/>
          <w:lang w:val="en-GB"/>
        </w:rPr>
        <w:t xml:space="preserve">, unlike anchovy (Brosset </w:t>
      </w:r>
      <w:r w:rsidR="007D3292" w:rsidRPr="00661D48">
        <w:rPr>
          <w:rFonts w:ascii="Verdana" w:hAnsi="Verdana" w:cstheme="minorHAnsi"/>
          <w:i/>
          <w:noProof/>
          <w:lang w:val="en-GB"/>
        </w:rPr>
        <w:t>et al</w:t>
      </w:r>
      <w:r w:rsidR="007D3292">
        <w:rPr>
          <w:rFonts w:ascii="Verdana" w:hAnsi="Verdana" w:cstheme="minorHAnsi"/>
          <w:noProof/>
          <w:lang w:val="en-GB"/>
        </w:rPr>
        <w:t>., 2017)</w:t>
      </w:r>
      <w:r w:rsidR="007D3292" w:rsidRPr="007D3292">
        <w:rPr>
          <w:rFonts w:ascii="Verdana" w:hAnsi="Verdana" w:cstheme="minorHAnsi"/>
          <w:noProof/>
          <w:lang w:val="en-GB"/>
        </w:rPr>
        <w:t>.</w:t>
      </w:r>
      <w:r w:rsidRPr="006147BC">
        <w:rPr>
          <w:rFonts w:ascii="Verdana" w:hAnsi="Verdana" w:cstheme="minorHAnsi"/>
          <w:noProof/>
          <w:lang w:val="en-GB"/>
        </w:rPr>
        <w:t xml:space="preserve"> It can</w:t>
      </w:r>
      <w:r w:rsidR="00B53797">
        <w:rPr>
          <w:rFonts w:ascii="Verdana" w:hAnsi="Verdana" w:cstheme="minorHAnsi"/>
          <w:noProof/>
          <w:lang w:val="en-GB"/>
        </w:rPr>
        <w:t xml:space="preserve"> also</w:t>
      </w:r>
      <w:r w:rsidRPr="006147BC">
        <w:rPr>
          <w:rFonts w:ascii="Verdana" w:hAnsi="Verdana" w:cstheme="minorHAnsi"/>
          <w:noProof/>
          <w:lang w:val="en-GB"/>
        </w:rPr>
        <w:t xml:space="preserve"> reflect a direct transfer of energy from the consumption of phytoplankton to the reproductive process</w:t>
      </w:r>
      <w:r w:rsidR="00EE0898">
        <w:rPr>
          <w:rFonts w:ascii="Verdana" w:hAnsi="Verdana" w:cstheme="minorHAnsi"/>
          <w:noProof/>
          <w:lang w:val="en-GB"/>
        </w:rPr>
        <w:t>,</w:t>
      </w:r>
      <w:r w:rsidRPr="006147BC">
        <w:rPr>
          <w:rFonts w:ascii="Verdana" w:hAnsi="Verdana" w:cstheme="minorHAnsi"/>
          <w:noProof/>
          <w:lang w:val="en-GB"/>
        </w:rPr>
        <w:t xml:space="preserve"> or a strategy to maximize the reproduction success granting favorable environmental condition</w:t>
      </w:r>
      <w:r w:rsidR="00EE0898">
        <w:rPr>
          <w:rFonts w:ascii="Verdana" w:hAnsi="Verdana" w:cstheme="minorHAnsi"/>
          <w:noProof/>
          <w:lang w:val="en-GB"/>
        </w:rPr>
        <w:t>s</w:t>
      </w:r>
      <w:r w:rsidRPr="006147BC">
        <w:rPr>
          <w:rFonts w:ascii="Verdana" w:hAnsi="Verdana" w:cstheme="minorHAnsi"/>
          <w:noProof/>
          <w:lang w:val="en-GB"/>
        </w:rPr>
        <w:t xml:space="preserve"> to the progeny (Fernández-Corredor </w:t>
      </w:r>
      <w:r w:rsidRPr="00661D48">
        <w:rPr>
          <w:rFonts w:ascii="Verdana" w:hAnsi="Verdana" w:cstheme="minorHAnsi"/>
          <w:i/>
          <w:noProof/>
          <w:lang w:val="en-GB"/>
        </w:rPr>
        <w:t>et al</w:t>
      </w:r>
      <w:r w:rsidRPr="006147BC">
        <w:rPr>
          <w:rFonts w:ascii="Verdana" w:hAnsi="Verdana" w:cstheme="minorHAnsi"/>
          <w:noProof/>
          <w:lang w:val="en-GB"/>
        </w:rPr>
        <w:t>., 2021).</w:t>
      </w:r>
      <w:r w:rsidRPr="006147BC">
        <w:rPr>
          <w:lang w:val="en-US"/>
        </w:rPr>
        <w:t xml:space="preserve"> </w:t>
      </w:r>
      <w:r w:rsidRPr="006147BC">
        <w:rPr>
          <w:rFonts w:ascii="Verdana" w:hAnsi="Verdana" w:cstheme="minorHAnsi"/>
          <w:noProof/>
          <w:lang w:val="en-GB"/>
        </w:rPr>
        <w:t>The results presented here, although preliminary, have the purpose to study the variation</w:t>
      </w:r>
      <w:r w:rsidR="00E55E98">
        <w:rPr>
          <w:rFonts w:ascii="Verdana" w:hAnsi="Verdana" w:cstheme="minorHAnsi"/>
          <w:noProof/>
          <w:lang w:val="en-GB"/>
        </w:rPr>
        <w:t>s</w:t>
      </w:r>
      <w:r w:rsidRPr="006147BC">
        <w:rPr>
          <w:rFonts w:ascii="Verdana" w:hAnsi="Verdana" w:cstheme="minorHAnsi"/>
          <w:noProof/>
          <w:lang w:val="en-GB"/>
        </w:rPr>
        <w:t xml:space="preserve"> of small pelagics reproductive cycle over a long period</w:t>
      </w:r>
      <w:r w:rsidR="00EE0898">
        <w:rPr>
          <w:rFonts w:ascii="Verdana" w:hAnsi="Verdana" w:cstheme="minorHAnsi"/>
          <w:noProof/>
          <w:lang w:val="en-GB"/>
        </w:rPr>
        <w:t>,</w:t>
      </w:r>
      <w:r w:rsidRPr="006147BC">
        <w:rPr>
          <w:rFonts w:ascii="Verdana" w:hAnsi="Verdana" w:cstheme="minorHAnsi"/>
          <w:noProof/>
          <w:lang w:val="en-GB"/>
        </w:rPr>
        <w:t xml:space="preserve"> and obtain a better understanding of the effects of the environment on their spawning intensity and seasonality.</w:t>
      </w:r>
    </w:p>
    <w:p w14:paraId="50FD3E37" w14:textId="77777777" w:rsidR="004E7EEA" w:rsidRPr="00FA5C39" w:rsidRDefault="004E7EEA" w:rsidP="004E7EEA">
      <w:pPr>
        <w:spacing w:after="0" w:line="240" w:lineRule="auto"/>
        <w:jc w:val="both"/>
        <w:rPr>
          <w:rFonts w:ascii="Verdana" w:hAnsi="Verdana" w:cstheme="minorHAnsi"/>
          <w:noProof/>
          <w:lang w:val="en-GB"/>
        </w:rPr>
      </w:pPr>
    </w:p>
    <w:p w14:paraId="3FE0C20B" w14:textId="5B970DF8" w:rsidR="00C408C4" w:rsidRPr="006533BE" w:rsidRDefault="00FA5C39" w:rsidP="004E7EEA">
      <w:pPr>
        <w:spacing w:after="0" w:line="240" w:lineRule="auto"/>
        <w:rPr>
          <w:rFonts w:ascii="Verdana" w:hAnsi="Verdana" w:cstheme="minorHAnsi"/>
          <w:sz w:val="18"/>
          <w:szCs w:val="18"/>
          <w:lang w:val="en-GB"/>
        </w:rPr>
      </w:pPr>
      <w:r w:rsidRPr="006533BE">
        <w:rPr>
          <w:rFonts w:ascii="Verdana" w:hAnsi="Verdana" w:cstheme="minorHAnsi"/>
          <w:b/>
          <w:bCs/>
          <w:sz w:val="18"/>
          <w:szCs w:val="18"/>
          <w:lang w:val="en-GB"/>
        </w:rPr>
        <w:t>References</w:t>
      </w:r>
    </w:p>
    <w:p w14:paraId="1656C84F" w14:textId="75EFF403" w:rsidR="00F10BFD" w:rsidRPr="00F10BFD" w:rsidRDefault="00AD0B8F" w:rsidP="004E7EEA">
      <w:pPr>
        <w:spacing w:after="0" w:line="240" w:lineRule="auto"/>
        <w:ind w:left="284" w:hanging="284"/>
        <w:jc w:val="both"/>
        <w:rPr>
          <w:rFonts w:ascii="Verdana" w:hAnsi="Verdana" w:cs="Times New Roman"/>
          <w:sz w:val="18"/>
          <w:lang w:val="en-US"/>
        </w:rPr>
      </w:pPr>
      <w:r w:rsidRPr="006533BE">
        <w:rPr>
          <w:rFonts w:ascii="Verdana" w:hAnsi="Verdana" w:cs="Times New Roman"/>
          <w:sz w:val="18"/>
          <w:lang w:val="en-GB"/>
        </w:rPr>
        <w:t>BROSSET P., FROMENTIN J-M., VAN BEVEREN E., LLORET J., MARQUES V., BASILONE G., BONANNO A., CARPI P., DONATO F., KEČ V.C., DE FELICE A., FERRERI R., GAŠPAREVIĆ D., GIRÁLDEZ A., GÜCÜ A., IGLESIAS M., LEONORI I., PALOMERA I., SOMARAKIS S., TIČINA V., TORRES P., VENTERO A., ZORICA B., MÉNARD F., SARAUX C</w:t>
      </w:r>
      <w:r w:rsidR="003F5B04" w:rsidRPr="006533BE">
        <w:rPr>
          <w:rFonts w:ascii="Verdana" w:hAnsi="Verdana" w:cs="Times New Roman"/>
          <w:sz w:val="18"/>
          <w:lang w:val="en-GB"/>
        </w:rPr>
        <w:t xml:space="preserve">. </w:t>
      </w:r>
      <w:r w:rsidRPr="006533BE">
        <w:rPr>
          <w:rFonts w:ascii="Verdana" w:hAnsi="Verdana" w:cs="Times New Roman"/>
          <w:sz w:val="18"/>
          <w:lang w:val="en-GB"/>
        </w:rPr>
        <w:t>(</w:t>
      </w:r>
      <w:r w:rsidR="003F5B04" w:rsidRPr="006533BE">
        <w:rPr>
          <w:rFonts w:ascii="Verdana" w:hAnsi="Verdana" w:cs="Times New Roman"/>
          <w:sz w:val="18"/>
          <w:lang w:val="en-GB"/>
        </w:rPr>
        <w:t>2017</w:t>
      </w:r>
      <w:r w:rsidRPr="006533BE">
        <w:rPr>
          <w:rFonts w:ascii="Verdana" w:hAnsi="Verdana" w:cs="Times New Roman"/>
          <w:sz w:val="18"/>
          <w:lang w:val="en-GB"/>
        </w:rPr>
        <w:t xml:space="preserve">) - </w:t>
      </w:r>
      <w:proofErr w:type="spellStart"/>
      <w:r w:rsidR="003F5B04" w:rsidRPr="006533BE">
        <w:rPr>
          <w:rFonts w:ascii="Verdana" w:hAnsi="Verdana" w:cs="Times New Roman"/>
          <w:sz w:val="18"/>
          <w:lang w:val="en-GB"/>
        </w:rPr>
        <w:t>Spatio</w:t>
      </w:r>
      <w:proofErr w:type="spellEnd"/>
      <w:r w:rsidR="003F5B04" w:rsidRPr="006533BE">
        <w:rPr>
          <w:rFonts w:ascii="Verdana" w:hAnsi="Verdana" w:cs="Times New Roman"/>
          <w:sz w:val="18"/>
          <w:lang w:val="en-GB"/>
        </w:rPr>
        <w:t xml:space="preserve">-temporal patterns and environmental controls of small pelagic fish body condition from contrasted Mediterranean areas. </w:t>
      </w:r>
      <w:r w:rsidR="004E7EEA" w:rsidRPr="004E7EEA">
        <w:rPr>
          <w:rFonts w:ascii="Verdana" w:hAnsi="Verdana" w:cs="Times New Roman"/>
          <w:i/>
          <w:sz w:val="18"/>
          <w:lang w:val="en-US"/>
        </w:rPr>
        <w:t xml:space="preserve">Prog. </w:t>
      </w:r>
      <w:proofErr w:type="spellStart"/>
      <w:r w:rsidR="004E7EEA" w:rsidRPr="004E7EEA">
        <w:rPr>
          <w:rFonts w:ascii="Verdana" w:hAnsi="Verdana" w:cs="Times New Roman"/>
          <w:i/>
          <w:sz w:val="18"/>
          <w:lang w:val="en-US"/>
        </w:rPr>
        <w:t>Oceanogr</w:t>
      </w:r>
      <w:proofErr w:type="spellEnd"/>
      <w:r w:rsidR="004E7EEA" w:rsidRPr="004E7EEA">
        <w:rPr>
          <w:rFonts w:ascii="Verdana" w:hAnsi="Verdana" w:cs="Times New Roman"/>
          <w:i/>
          <w:sz w:val="18"/>
          <w:lang w:val="en-US"/>
        </w:rPr>
        <w:t>.</w:t>
      </w:r>
      <w:r w:rsidR="004E7EEA">
        <w:rPr>
          <w:rFonts w:ascii="Verdana" w:hAnsi="Verdana" w:cs="Times New Roman"/>
          <w:i/>
          <w:sz w:val="18"/>
          <w:lang w:val="en-US"/>
        </w:rPr>
        <w:t xml:space="preserve">, </w:t>
      </w:r>
      <w:r w:rsidR="003F5B04" w:rsidRPr="00867D13">
        <w:rPr>
          <w:rFonts w:ascii="Verdana" w:hAnsi="Verdana" w:cs="Times New Roman"/>
          <w:b/>
          <w:sz w:val="18"/>
          <w:lang w:val="en-US"/>
        </w:rPr>
        <w:t>151</w:t>
      </w:r>
      <w:r>
        <w:rPr>
          <w:rFonts w:ascii="Verdana" w:hAnsi="Verdana" w:cs="Times New Roman"/>
          <w:sz w:val="18"/>
          <w:lang w:val="en-US"/>
        </w:rPr>
        <w:t>:</w:t>
      </w:r>
      <w:r w:rsidR="003F5B04" w:rsidRPr="00F10BFD">
        <w:rPr>
          <w:rFonts w:ascii="Verdana" w:hAnsi="Verdana" w:cs="Times New Roman"/>
          <w:sz w:val="18"/>
          <w:lang w:val="en-US"/>
        </w:rPr>
        <w:t xml:space="preserve"> 149-162.</w:t>
      </w:r>
    </w:p>
    <w:p w14:paraId="061A6D17" w14:textId="3B779FE8" w:rsidR="00F10BFD" w:rsidRDefault="00AD0B8F" w:rsidP="004E7EEA">
      <w:pPr>
        <w:spacing w:after="0" w:line="240" w:lineRule="auto"/>
        <w:ind w:left="284" w:hanging="284"/>
        <w:jc w:val="both"/>
        <w:rPr>
          <w:rFonts w:ascii="Verdana" w:eastAsia="Calibri" w:hAnsi="Verdana" w:cs="Times New Roman"/>
          <w:bCs/>
          <w:sz w:val="18"/>
          <w:szCs w:val="18"/>
          <w:lang w:val="en-US"/>
        </w:rPr>
      </w:pPr>
      <w:r w:rsidRPr="00F10BFD">
        <w:rPr>
          <w:rFonts w:ascii="Verdana" w:eastAsia="Calibri" w:hAnsi="Verdana" w:cs="Times New Roman"/>
          <w:bCs/>
          <w:sz w:val="18"/>
          <w:szCs w:val="18"/>
          <w:lang w:val="en-US"/>
        </w:rPr>
        <w:t>CABALLERO-HUERTAS M</w:t>
      </w:r>
      <w:r>
        <w:rPr>
          <w:rFonts w:ascii="Verdana" w:eastAsia="Calibri" w:hAnsi="Verdana" w:cs="Times New Roman"/>
          <w:bCs/>
          <w:sz w:val="18"/>
          <w:szCs w:val="18"/>
          <w:lang w:val="en-US"/>
        </w:rPr>
        <w:t>.</w:t>
      </w:r>
      <w:r w:rsidRPr="00F10BFD">
        <w:rPr>
          <w:rFonts w:ascii="Verdana" w:eastAsia="Calibri" w:hAnsi="Verdana" w:cs="Times New Roman"/>
          <w:bCs/>
          <w:sz w:val="18"/>
          <w:szCs w:val="18"/>
          <w:lang w:val="en-US"/>
        </w:rPr>
        <w:t>, FRIGOLA-TEPE X</w:t>
      </w:r>
      <w:r>
        <w:rPr>
          <w:rFonts w:ascii="Verdana" w:eastAsia="Calibri" w:hAnsi="Verdana" w:cs="Times New Roman"/>
          <w:bCs/>
          <w:sz w:val="18"/>
          <w:szCs w:val="18"/>
          <w:lang w:val="en-US"/>
        </w:rPr>
        <w:t>.</w:t>
      </w:r>
      <w:r w:rsidRPr="00F10BFD">
        <w:rPr>
          <w:rFonts w:ascii="Verdana" w:eastAsia="Calibri" w:hAnsi="Verdana" w:cs="Times New Roman"/>
          <w:bCs/>
          <w:sz w:val="18"/>
          <w:szCs w:val="18"/>
          <w:lang w:val="en-US"/>
        </w:rPr>
        <w:t>, VIÑAS J</w:t>
      </w:r>
      <w:r>
        <w:rPr>
          <w:rFonts w:ascii="Verdana" w:eastAsia="Calibri" w:hAnsi="Verdana" w:cs="Times New Roman"/>
          <w:bCs/>
          <w:sz w:val="18"/>
          <w:szCs w:val="18"/>
          <w:lang w:val="en-US"/>
        </w:rPr>
        <w:t>.</w:t>
      </w:r>
      <w:r w:rsidRPr="00F10BFD">
        <w:rPr>
          <w:rFonts w:ascii="Verdana" w:eastAsia="Calibri" w:hAnsi="Verdana" w:cs="Times New Roman"/>
          <w:bCs/>
          <w:sz w:val="18"/>
          <w:szCs w:val="18"/>
          <w:lang w:val="en-US"/>
        </w:rPr>
        <w:t xml:space="preserve"> AND MUÑOZ M</w:t>
      </w:r>
      <w:r>
        <w:rPr>
          <w:rFonts w:ascii="Verdana" w:eastAsia="Calibri" w:hAnsi="Verdana" w:cs="Times New Roman"/>
          <w:bCs/>
          <w:sz w:val="18"/>
          <w:szCs w:val="18"/>
          <w:lang w:val="en-US"/>
        </w:rPr>
        <w:t>.</w:t>
      </w:r>
      <w:r w:rsidRPr="00F10BFD">
        <w:rPr>
          <w:rFonts w:ascii="Verdana" w:eastAsia="Calibri" w:hAnsi="Verdana" w:cs="Times New Roman"/>
          <w:bCs/>
          <w:sz w:val="18"/>
          <w:szCs w:val="18"/>
          <w:lang w:val="en-US"/>
        </w:rPr>
        <w:t xml:space="preserve"> </w:t>
      </w:r>
      <w:r w:rsidR="00F10BFD" w:rsidRPr="00F10BFD">
        <w:rPr>
          <w:rFonts w:ascii="Verdana" w:eastAsia="Calibri" w:hAnsi="Verdana" w:cs="Times New Roman"/>
          <w:bCs/>
          <w:sz w:val="18"/>
          <w:szCs w:val="18"/>
          <w:lang w:val="en-US"/>
        </w:rPr>
        <w:t xml:space="preserve">(2023) </w:t>
      </w:r>
      <w:r>
        <w:rPr>
          <w:rFonts w:ascii="Verdana" w:eastAsia="Calibri" w:hAnsi="Verdana" w:cs="Times New Roman"/>
          <w:bCs/>
          <w:sz w:val="18"/>
          <w:szCs w:val="18"/>
          <w:lang w:val="en-US"/>
        </w:rPr>
        <w:t xml:space="preserve">- </w:t>
      </w:r>
      <w:r w:rsidR="00F10BFD" w:rsidRPr="00F10BFD">
        <w:rPr>
          <w:rFonts w:ascii="Verdana" w:eastAsia="Calibri" w:hAnsi="Verdana" w:cs="Times New Roman"/>
          <w:bCs/>
          <w:sz w:val="18"/>
          <w:szCs w:val="18"/>
          <w:lang w:val="en-US"/>
        </w:rPr>
        <w:t>From west to</w:t>
      </w:r>
      <w:r w:rsidR="00F10BFD">
        <w:rPr>
          <w:rFonts w:ascii="Verdana" w:eastAsia="Calibri" w:hAnsi="Verdana" w:cs="Times New Roman"/>
          <w:bCs/>
          <w:sz w:val="18"/>
          <w:szCs w:val="18"/>
          <w:lang w:val="en-US"/>
        </w:rPr>
        <w:t xml:space="preserve"> </w:t>
      </w:r>
      <w:r w:rsidR="00F10BFD" w:rsidRPr="00F10BFD">
        <w:rPr>
          <w:rFonts w:ascii="Verdana" w:eastAsia="Calibri" w:hAnsi="Verdana" w:cs="Times New Roman"/>
          <w:bCs/>
          <w:sz w:val="18"/>
          <w:szCs w:val="18"/>
          <w:lang w:val="en-US"/>
        </w:rPr>
        <w:t>east: Heterogeneity in the life history traits</w:t>
      </w:r>
      <w:r w:rsidR="00F10BFD">
        <w:rPr>
          <w:rFonts w:ascii="Verdana" w:eastAsia="Calibri" w:hAnsi="Verdana" w:cs="Times New Roman"/>
          <w:bCs/>
          <w:sz w:val="18"/>
          <w:szCs w:val="18"/>
          <w:lang w:val="en-US"/>
        </w:rPr>
        <w:t xml:space="preserve"> </w:t>
      </w:r>
      <w:r w:rsidR="00F10BFD" w:rsidRPr="00F10BFD">
        <w:rPr>
          <w:rFonts w:ascii="Verdana" w:eastAsia="Calibri" w:hAnsi="Verdana" w:cs="Times New Roman"/>
          <w:bCs/>
          <w:sz w:val="18"/>
          <w:szCs w:val="18"/>
          <w:lang w:val="en-US"/>
        </w:rPr>
        <w:t>of a small pelagic fish (</w:t>
      </w:r>
      <w:proofErr w:type="spellStart"/>
      <w:r w:rsidR="00F10BFD" w:rsidRPr="00AD0B8F">
        <w:rPr>
          <w:rFonts w:ascii="Verdana" w:eastAsia="Calibri" w:hAnsi="Verdana" w:cs="Times New Roman"/>
          <w:bCs/>
          <w:i/>
          <w:sz w:val="18"/>
          <w:szCs w:val="18"/>
          <w:lang w:val="en-US"/>
        </w:rPr>
        <w:t>Sardina</w:t>
      </w:r>
      <w:proofErr w:type="spellEnd"/>
      <w:r w:rsidR="00F10BFD" w:rsidRPr="00AD0B8F">
        <w:rPr>
          <w:rFonts w:ascii="Verdana" w:eastAsia="Calibri" w:hAnsi="Verdana" w:cs="Times New Roman"/>
          <w:bCs/>
          <w:i/>
          <w:sz w:val="18"/>
          <w:szCs w:val="18"/>
          <w:lang w:val="en-US"/>
        </w:rPr>
        <w:t xml:space="preserve"> pilchardus</w:t>
      </w:r>
      <w:r w:rsidR="00F10BFD" w:rsidRPr="00F10BFD">
        <w:rPr>
          <w:rFonts w:ascii="Verdana" w:eastAsia="Calibri" w:hAnsi="Verdana" w:cs="Times New Roman"/>
          <w:bCs/>
          <w:sz w:val="18"/>
          <w:szCs w:val="18"/>
          <w:lang w:val="en-US"/>
        </w:rPr>
        <w:t>)</w:t>
      </w:r>
      <w:r w:rsidR="00F10BFD">
        <w:rPr>
          <w:rFonts w:ascii="Verdana" w:eastAsia="Calibri" w:hAnsi="Verdana" w:cs="Times New Roman"/>
          <w:bCs/>
          <w:sz w:val="18"/>
          <w:szCs w:val="18"/>
          <w:lang w:val="en-US"/>
        </w:rPr>
        <w:t xml:space="preserve"> </w:t>
      </w:r>
      <w:r w:rsidR="00F10BFD" w:rsidRPr="00F10BFD">
        <w:rPr>
          <w:rFonts w:ascii="Verdana" w:eastAsia="Calibri" w:hAnsi="Verdana" w:cs="Times New Roman"/>
          <w:bCs/>
          <w:sz w:val="18"/>
          <w:szCs w:val="18"/>
          <w:lang w:val="en-US"/>
        </w:rPr>
        <w:t>throughout the Mediterranean.</w:t>
      </w:r>
      <w:r w:rsidR="00F10BFD">
        <w:rPr>
          <w:rFonts w:ascii="Verdana" w:eastAsia="Calibri" w:hAnsi="Verdana" w:cs="Times New Roman"/>
          <w:bCs/>
          <w:sz w:val="18"/>
          <w:szCs w:val="18"/>
          <w:lang w:val="en-US"/>
        </w:rPr>
        <w:t xml:space="preserve"> </w:t>
      </w:r>
      <w:r w:rsidR="00F10BFD" w:rsidRPr="00867D13">
        <w:rPr>
          <w:rFonts w:ascii="Verdana" w:eastAsia="Calibri" w:hAnsi="Verdana" w:cs="Times New Roman"/>
          <w:bCs/>
          <w:i/>
          <w:sz w:val="18"/>
          <w:szCs w:val="18"/>
          <w:lang w:val="en-US"/>
        </w:rPr>
        <w:t>Front. Mar. Sci.</w:t>
      </w:r>
      <w:r w:rsidR="00867D13">
        <w:rPr>
          <w:rFonts w:ascii="Verdana" w:eastAsia="Calibri" w:hAnsi="Verdana" w:cs="Times New Roman"/>
          <w:bCs/>
          <w:sz w:val="18"/>
          <w:szCs w:val="18"/>
          <w:lang w:val="en-US"/>
        </w:rPr>
        <w:t>,</w:t>
      </w:r>
      <w:r w:rsidR="00F10BFD" w:rsidRPr="00F10BFD">
        <w:rPr>
          <w:rFonts w:ascii="Verdana" w:eastAsia="Calibri" w:hAnsi="Verdana" w:cs="Times New Roman"/>
          <w:bCs/>
          <w:sz w:val="18"/>
          <w:szCs w:val="18"/>
          <w:lang w:val="en-US"/>
        </w:rPr>
        <w:t xml:space="preserve"> </w:t>
      </w:r>
      <w:r w:rsidR="00F10BFD" w:rsidRPr="00867D13">
        <w:rPr>
          <w:rFonts w:ascii="Verdana" w:eastAsia="Calibri" w:hAnsi="Verdana" w:cs="Times New Roman"/>
          <w:b/>
          <w:bCs/>
          <w:sz w:val="18"/>
          <w:szCs w:val="18"/>
          <w:lang w:val="en-US"/>
        </w:rPr>
        <w:t>10</w:t>
      </w:r>
      <w:r w:rsidR="00F10BFD" w:rsidRPr="00F10BFD">
        <w:rPr>
          <w:rFonts w:ascii="Verdana" w:eastAsia="Calibri" w:hAnsi="Verdana" w:cs="Times New Roman"/>
          <w:bCs/>
          <w:sz w:val="18"/>
          <w:szCs w:val="18"/>
          <w:lang w:val="en-US"/>
        </w:rPr>
        <w:t>:</w:t>
      </w:r>
      <w:r w:rsidR="004E7EEA">
        <w:rPr>
          <w:rFonts w:ascii="Verdana" w:eastAsia="Calibri" w:hAnsi="Verdana" w:cs="Times New Roman"/>
          <w:bCs/>
          <w:sz w:val="18"/>
          <w:szCs w:val="18"/>
          <w:lang w:val="en-US"/>
        </w:rPr>
        <w:t xml:space="preserve"> </w:t>
      </w:r>
      <w:r w:rsidR="00F10BFD" w:rsidRPr="00F10BFD">
        <w:rPr>
          <w:rFonts w:ascii="Verdana" w:eastAsia="Calibri" w:hAnsi="Verdana" w:cs="Times New Roman"/>
          <w:bCs/>
          <w:sz w:val="18"/>
          <w:szCs w:val="18"/>
          <w:lang w:val="en-US"/>
        </w:rPr>
        <w:t>1187071.</w:t>
      </w:r>
    </w:p>
    <w:p w14:paraId="4E2ACC6F" w14:textId="3AD0E4AE" w:rsidR="00AD0B8F" w:rsidRDefault="00867D13" w:rsidP="004E7EEA">
      <w:pPr>
        <w:spacing w:after="0" w:line="240" w:lineRule="auto"/>
        <w:ind w:left="284" w:hanging="284"/>
        <w:jc w:val="both"/>
        <w:rPr>
          <w:rFonts w:ascii="Verdana" w:eastAsia="Calibri" w:hAnsi="Verdana" w:cs="Times New Roman"/>
          <w:bCs/>
          <w:sz w:val="18"/>
          <w:szCs w:val="18"/>
          <w:lang w:val="en-US"/>
        </w:rPr>
      </w:pPr>
      <w:r w:rsidRPr="00AD0B8F">
        <w:rPr>
          <w:rFonts w:ascii="Verdana" w:eastAsia="Calibri" w:hAnsi="Verdana" w:cs="Times New Roman"/>
          <w:bCs/>
          <w:sz w:val="18"/>
          <w:szCs w:val="18"/>
          <w:lang w:val="en-US"/>
        </w:rPr>
        <w:t>CURY P., BAKUN A., CRAWFORD R.J.M., JARRE A., QUINONES R.A., SHANNON L.J., VERHEYE H.M.</w:t>
      </w:r>
      <w:r w:rsidR="00AD0B8F" w:rsidRPr="00AD0B8F">
        <w:rPr>
          <w:rFonts w:ascii="Verdana" w:eastAsia="Calibri" w:hAnsi="Verdana" w:cs="Times New Roman"/>
          <w:bCs/>
          <w:sz w:val="18"/>
          <w:szCs w:val="18"/>
          <w:lang w:val="en-US"/>
        </w:rPr>
        <w:t xml:space="preserve"> </w:t>
      </w:r>
      <w:r>
        <w:rPr>
          <w:rFonts w:ascii="Verdana" w:eastAsia="Calibri" w:hAnsi="Verdana" w:cs="Times New Roman"/>
          <w:bCs/>
          <w:sz w:val="18"/>
          <w:szCs w:val="18"/>
          <w:lang w:val="en-US"/>
        </w:rPr>
        <w:t>(</w:t>
      </w:r>
      <w:r w:rsidR="00AD0B8F" w:rsidRPr="00AD0B8F">
        <w:rPr>
          <w:rFonts w:ascii="Verdana" w:eastAsia="Calibri" w:hAnsi="Verdana" w:cs="Times New Roman"/>
          <w:bCs/>
          <w:sz w:val="18"/>
          <w:szCs w:val="18"/>
          <w:lang w:val="en-US"/>
        </w:rPr>
        <w:t>2000</w:t>
      </w:r>
      <w:r>
        <w:rPr>
          <w:rFonts w:ascii="Verdana" w:eastAsia="Calibri" w:hAnsi="Verdana" w:cs="Times New Roman"/>
          <w:bCs/>
          <w:sz w:val="18"/>
          <w:szCs w:val="18"/>
          <w:lang w:val="en-US"/>
        </w:rPr>
        <w:t>) -</w:t>
      </w:r>
      <w:r w:rsidR="00AD0B8F" w:rsidRPr="00AD0B8F">
        <w:rPr>
          <w:rFonts w:ascii="Verdana" w:eastAsia="Calibri" w:hAnsi="Verdana" w:cs="Times New Roman"/>
          <w:bCs/>
          <w:sz w:val="18"/>
          <w:szCs w:val="18"/>
          <w:lang w:val="en-US"/>
        </w:rPr>
        <w:t xml:space="preserve"> Small </w:t>
      </w:r>
      <w:proofErr w:type="spellStart"/>
      <w:r w:rsidR="00AD0B8F" w:rsidRPr="00AD0B8F">
        <w:rPr>
          <w:rFonts w:ascii="Verdana" w:eastAsia="Calibri" w:hAnsi="Verdana" w:cs="Times New Roman"/>
          <w:bCs/>
          <w:sz w:val="18"/>
          <w:szCs w:val="18"/>
          <w:lang w:val="en-US"/>
        </w:rPr>
        <w:t>pelagics</w:t>
      </w:r>
      <w:proofErr w:type="spellEnd"/>
      <w:r w:rsidR="00AD0B8F" w:rsidRPr="00AD0B8F">
        <w:rPr>
          <w:rFonts w:ascii="Verdana" w:eastAsia="Calibri" w:hAnsi="Verdana" w:cs="Times New Roman"/>
          <w:bCs/>
          <w:sz w:val="18"/>
          <w:szCs w:val="18"/>
          <w:lang w:val="en-US"/>
        </w:rPr>
        <w:t xml:space="preserve"> in upwelling systems: patterns of interaction and structural changes in “wasp-waist” ecosystems. </w:t>
      </w:r>
      <w:r w:rsidR="00AD0B8F" w:rsidRPr="00867D13">
        <w:rPr>
          <w:rFonts w:ascii="Verdana" w:eastAsia="Calibri" w:hAnsi="Verdana" w:cs="Times New Roman"/>
          <w:bCs/>
          <w:i/>
          <w:sz w:val="18"/>
          <w:szCs w:val="18"/>
          <w:lang w:val="en-US"/>
        </w:rPr>
        <w:t>ICES J</w:t>
      </w:r>
      <w:r w:rsidR="004E7EEA">
        <w:rPr>
          <w:rFonts w:ascii="Verdana" w:eastAsia="Calibri" w:hAnsi="Verdana" w:cs="Times New Roman"/>
          <w:bCs/>
          <w:i/>
          <w:sz w:val="18"/>
          <w:szCs w:val="18"/>
          <w:lang w:val="en-US"/>
        </w:rPr>
        <w:t xml:space="preserve">. </w:t>
      </w:r>
      <w:r w:rsidR="00AD0B8F" w:rsidRPr="00867D13">
        <w:rPr>
          <w:rFonts w:ascii="Verdana" w:eastAsia="Calibri" w:hAnsi="Verdana" w:cs="Times New Roman"/>
          <w:bCs/>
          <w:i/>
          <w:sz w:val="18"/>
          <w:szCs w:val="18"/>
          <w:lang w:val="en-US"/>
        </w:rPr>
        <w:t>Mar</w:t>
      </w:r>
      <w:r w:rsidR="004E7EEA">
        <w:rPr>
          <w:rFonts w:ascii="Verdana" w:eastAsia="Calibri" w:hAnsi="Verdana" w:cs="Times New Roman"/>
          <w:bCs/>
          <w:i/>
          <w:sz w:val="18"/>
          <w:szCs w:val="18"/>
          <w:lang w:val="en-US"/>
        </w:rPr>
        <w:t>.</w:t>
      </w:r>
      <w:r w:rsidR="00AD0B8F" w:rsidRPr="00867D13">
        <w:rPr>
          <w:rFonts w:ascii="Verdana" w:eastAsia="Calibri" w:hAnsi="Verdana" w:cs="Times New Roman"/>
          <w:bCs/>
          <w:i/>
          <w:sz w:val="18"/>
          <w:szCs w:val="18"/>
          <w:lang w:val="en-US"/>
        </w:rPr>
        <w:t xml:space="preserve"> Sci</w:t>
      </w:r>
      <w:r w:rsidR="004E7EEA">
        <w:rPr>
          <w:rFonts w:ascii="Verdana" w:eastAsia="Calibri" w:hAnsi="Verdana" w:cs="Times New Roman"/>
          <w:bCs/>
          <w:i/>
          <w:sz w:val="18"/>
          <w:szCs w:val="18"/>
          <w:lang w:val="en-US"/>
        </w:rPr>
        <w:t>.</w:t>
      </w:r>
      <w:r w:rsidR="00AD0B8F" w:rsidRPr="00AD0B8F">
        <w:rPr>
          <w:rFonts w:ascii="Verdana" w:eastAsia="Calibri" w:hAnsi="Verdana" w:cs="Times New Roman"/>
          <w:bCs/>
          <w:sz w:val="18"/>
          <w:szCs w:val="18"/>
          <w:lang w:val="en-US"/>
        </w:rPr>
        <w:t xml:space="preserve">, </w:t>
      </w:r>
      <w:r w:rsidR="00AD0B8F" w:rsidRPr="00867D13">
        <w:rPr>
          <w:rFonts w:ascii="Verdana" w:eastAsia="Calibri" w:hAnsi="Verdana" w:cs="Times New Roman"/>
          <w:b/>
          <w:bCs/>
          <w:sz w:val="18"/>
          <w:szCs w:val="18"/>
          <w:lang w:val="en-US"/>
        </w:rPr>
        <w:t>57</w:t>
      </w:r>
      <w:r w:rsidR="00AD0B8F" w:rsidRPr="00AD0B8F">
        <w:rPr>
          <w:rFonts w:ascii="Verdana" w:eastAsia="Calibri" w:hAnsi="Verdana" w:cs="Times New Roman"/>
          <w:bCs/>
          <w:sz w:val="18"/>
          <w:szCs w:val="18"/>
          <w:lang w:val="en-US"/>
        </w:rPr>
        <w:t xml:space="preserve"> (3)</w:t>
      </w:r>
      <w:r>
        <w:rPr>
          <w:rFonts w:ascii="Verdana" w:eastAsia="Calibri" w:hAnsi="Verdana" w:cs="Times New Roman"/>
          <w:bCs/>
          <w:sz w:val="18"/>
          <w:szCs w:val="18"/>
          <w:lang w:val="en-US"/>
        </w:rPr>
        <w:t>:</w:t>
      </w:r>
      <w:r w:rsidR="00AD0B8F" w:rsidRPr="00AD0B8F">
        <w:rPr>
          <w:rFonts w:ascii="Verdana" w:eastAsia="Calibri" w:hAnsi="Verdana" w:cs="Times New Roman"/>
          <w:bCs/>
          <w:sz w:val="18"/>
          <w:szCs w:val="18"/>
          <w:lang w:val="en-US"/>
        </w:rPr>
        <w:t xml:space="preserve"> 603–618.</w:t>
      </w:r>
    </w:p>
    <w:p w14:paraId="3B34E5B6" w14:textId="5D196BED" w:rsidR="003F5B04" w:rsidRDefault="00867D13" w:rsidP="004E7EEA">
      <w:pPr>
        <w:spacing w:after="0" w:line="240" w:lineRule="auto"/>
        <w:ind w:left="284" w:hanging="284"/>
        <w:jc w:val="both"/>
        <w:rPr>
          <w:rFonts w:ascii="Verdana" w:eastAsia="Calibri" w:hAnsi="Verdana" w:cs="Times New Roman"/>
          <w:bCs/>
          <w:sz w:val="18"/>
          <w:szCs w:val="18"/>
          <w:lang w:val="en-US"/>
        </w:rPr>
      </w:pPr>
      <w:r w:rsidRPr="003F5B04">
        <w:rPr>
          <w:rFonts w:ascii="Verdana" w:eastAsia="Calibri" w:hAnsi="Verdana" w:cs="Times New Roman"/>
          <w:bCs/>
          <w:sz w:val="18"/>
          <w:szCs w:val="18"/>
          <w:lang w:val="en-US"/>
        </w:rPr>
        <w:t xml:space="preserve">EUROPEAN COMMISSION </w:t>
      </w:r>
      <w:r w:rsidR="003F5B04" w:rsidRPr="003F5B04">
        <w:rPr>
          <w:rFonts w:ascii="Verdana" w:eastAsia="Calibri" w:hAnsi="Verdana" w:cs="Times New Roman"/>
          <w:bCs/>
          <w:sz w:val="18"/>
          <w:szCs w:val="18"/>
          <w:lang w:val="en-US"/>
        </w:rPr>
        <w:t>(EC) (2017)</w:t>
      </w:r>
      <w:r>
        <w:rPr>
          <w:rFonts w:ascii="Verdana" w:eastAsia="Calibri" w:hAnsi="Verdana" w:cs="Times New Roman"/>
          <w:bCs/>
          <w:sz w:val="18"/>
          <w:szCs w:val="18"/>
          <w:lang w:val="en-US"/>
        </w:rPr>
        <w:t xml:space="preserve"> -</w:t>
      </w:r>
      <w:r w:rsidR="003F5B04" w:rsidRPr="003F5B04">
        <w:rPr>
          <w:rFonts w:ascii="Verdana" w:eastAsia="Calibri" w:hAnsi="Verdana" w:cs="Times New Roman"/>
          <w:bCs/>
          <w:sz w:val="18"/>
          <w:szCs w:val="18"/>
          <w:lang w:val="en-US"/>
        </w:rPr>
        <w:t xml:space="preserve"> Regulation (EU) 2017/1004 on the</w:t>
      </w:r>
      <w:r w:rsidR="003F5B04">
        <w:rPr>
          <w:rFonts w:ascii="Verdana" w:eastAsia="Calibri" w:hAnsi="Verdana" w:cs="Times New Roman"/>
          <w:bCs/>
          <w:sz w:val="18"/>
          <w:szCs w:val="18"/>
          <w:lang w:val="en-US"/>
        </w:rPr>
        <w:t xml:space="preserve"> </w:t>
      </w:r>
      <w:r w:rsidR="003F5B04" w:rsidRPr="003F5B04">
        <w:rPr>
          <w:rFonts w:ascii="Verdana" w:eastAsia="Calibri" w:hAnsi="Verdana" w:cs="Times New Roman"/>
          <w:bCs/>
          <w:sz w:val="18"/>
          <w:szCs w:val="18"/>
          <w:lang w:val="en-US"/>
        </w:rPr>
        <w:t>Establishment of a Union Framework for the Collection, Management and</w:t>
      </w:r>
      <w:r w:rsidR="003F5B04">
        <w:rPr>
          <w:rFonts w:ascii="Verdana" w:eastAsia="Calibri" w:hAnsi="Verdana" w:cs="Times New Roman"/>
          <w:bCs/>
          <w:sz w:val="18"/>
          <w:szCs w:val="18"/>
          <w:lang w:val="en-US"/>
        </w:rPr>
        <w:t xml:space="preserve"> </w:t>
      </w:r>
      <w:r w:rsidR="003F5B04" w:rsidRPr="003F5B04">
        <w:rPr>
          <w:rFonts w:ascii="Verdana" w:eastAsia="Calibri" w:hAnsi="Verdana" w:cs="Times New Roman"/>
          <w:bCs/>
          <w:sz w:val="18"/>
          <w:szCs w:val="18"/>
          <w:lang w:val="en-US"/>
        </w:rPr>
        <w:t>Use of Data in the Fisheries Sector and Support for Scientific Advice Regarding the Common Fisheries Policy and Repealing Council Regulation (EC) No 199/2008. Brussels: European Commission.</w:t>
      </w:r>
    </w:p>
    <w:p w14:paraId="507C29BF" w14:textId="7AE1C026" w:rsidR="003F5B04" w:rsidRDefault="00867D13" w:rsidP="004E7EEA">
      <w:pPr>
        <w:spacing w:after="0" w:line="240" w:lineRule="auto"/>
        <w:ind w:left="284" w:hanging="284"/>
        <w:jc w:val="both"/>
        <w:rPr>
          <w:rFonts w:ascii="Verdana" w:eastAsia="Calibri" w:hAnsi="Verdana" w:cs="Times New Roman"/>
          <w:bCs/>
          <w:sz w:val="18"/>
          <w:szCs w:val="18"/>
          <w:lang w:val="en-US"/>
        </w:rPr>
      </w:pPr>
      <w:r w:rsidRPr="003F5B04">
        <w:rPr>
          <w:rFonts w:ascii="Verdana" w:eastAsia="Calibri" w:hAnsi="Verdana" w:cs="Times New Roman"/>
          <w:bCs/>
          <w:sz w:val="18"/>
          <w:szCs w:val="18"/>
          <w:lang w:val="en-US"/>
        </w:rPr>
        <w:t>FERNÁNDEZ-CORREDOR E., ALBO-PUIGSERVER M., PENNINO M.G., BELLIDO J.M., COLL M.</w:t>
      </w:r>
      <w:r w:rsidR="003F5B04">
        <w:rPr>
          <w:rFonts w:ascii="Verdana" w:eastAsia="Calibri" w:hAnsi="Verdana" w:cs="Times New Roman"/>
          <w:bCs/>
          <w:sz w:val="18"/>
          <w:szCs w:val="18"/>
          <w:lang w:val="en-US"/>
        </w:rPr>
        <w:t xml:space="preserve"> </w:t>
      </w:r>
      <w:r>
        <w:rPr>
          <w:rFonts w:ascii="Verdana" w:eastAsia="Calibri" w:hAnsi="Verdana" w:cs="Times New Roman"/>
          <w:bCs/>
          <w:sz w:val="18"/>
          <w:szCs w:val="18"/>
          <w:lang w:val="en-US"/>
        </w:rPr>
        <w:t>(</w:t>
      </w:r>
      <w:r w:rsidR="003F5B04" w:rsidRPr="003F5B04">
        <w:rPr>
          <w:rFonts w:ascii="Verdana" w:eastAsia="Calibri" w:hAnsi="Verdana" w:cs="Times New Roman"/>
          <w:bCs/>
          <w:sz w:val="18"/>
          <w:szCs w:val="18"/>
          <w:lang w:val="en-US"/>
        </w:rPr>
        <w:t>2021</w:t>
      </w:r>
      <w:r>
        <w:rPr>
          <w:rFonts w:ascii="Verdana" w:eastAsia="Calibri" w:hAnsi="Verdana" w:cs="Times New Roman"/>
          <w:bCs/>
          <w:sz w:val="18"/>
          <w:szCs w:val="18"/>
          <w:lang w:val="en-US"/>
        </w:rPr>
        <w:t>) -</w:t>
      </w:r>
      <w:r w:rsidR="003F5B04" w:rsidRPr="003F5B04">
        <w:rPr>
          <w:rFonts w:ascii="Verdana" w:eastAsia="Calibri" w:hAnsi="Verdana" w:cs="Times New Roman"/>
          <w:bCs/>
          <w:sz w:val="18"/>
          <w:szCs w:val="18"/>
          <w:lang w:val="en-US"/>
        </w:rPr>
        <w:t xml:space="preserve"> Influence of environmental factors on different life stages of European</w:t>
      </w:r>
      <w:r w:rsidR="003F5B04">
        <w:rPr>
          <w:rFonts w:ascii="Verdana" w:eastAsia="Calibri" w:hAnsi="Verdana" w:cs="Times New Roman"/>
          <w:bCs/>
          <w:sz w:val="18"/>
          <w:szCs w:val="18"/>
          <w:lang w:val="en-US"/>
        </w:rPr>
        <w:t xml:space="preserve"> </w:t>
      </w:r>
      <w:r w:rsidR="003F5B04" w:rsidRPr="003F5B04">
        <w:rPr>
          <w:rFonts w:ascii="Verdana" w:eastAsia="Calibri" w:hAnsi="Verdana" w:cs="Times New Roman"/>
          <w:bCs/>
          <w:sz w:val="18"/>
          <w:szCs w:val="18"/>
          <w:lang w:val="en-US"/>
        </w:rPr>
        <w:t>anchovy (</w:t>
      </w:r>
      <w:proofErr w:type="spellStart"/>
      <w:r w:rsidR="003F5B04" w:rsidRPr="00867D13">
        <w:rPr>
          <w:rFonts w:ascii="Verdana" w:eastAsia="Calibri" w:hAnsi="Verdana" w:cs="Times New Roman"/>
          <w:bCs/>
          <w:i/>
          <w:sz w:val="18"/>
          <w:szCs w:val="18"/>
          <w:lang w:val="en-US"/>
        </w:rPr>
        <w:t>Engraulis</w:t>
      </w:r>
      <w:proofErr w:type="spellEnd"/>
      <w:r w:rsidR="003F5B04" w:rsidRPr="00867D13">
        <w:rPr>
          <w:rFonts w:ascii="Verdana" w:eastAsia="Calibri" w:hAnsi="Verdana" w:cs="Times New Roman"/>
          <w:bCs/>
          <w:i/>
          <w:sz w:val="18"/>
          <w:szCs w:val="18"/>
          <w:lang w:val="en-US"/>
        </w:rPr>
        <w:t xml:space="preserve"> </w:t>
      </w:r>
      <w:proofErr w:type="spellStart"/>
      <w:r w:rsidR="003F5B04" w:rsidRPr="00867D13">
        <w:rPr>
          <w:rFonts w:ascii="Verdana" w:eastAsia="Calibri" w:hAnsi="Verdana" w:cs="Times New Roman"/>
          <w:bCs/>
          <w:i/>
          <w:sz w:val="18"/>
          <w:szCs w:val="18"/>
          <w:lang w:val="en-US"/>
        </w:rPr>
        <w:t>encrasicolus</w:t>
      </w:r>
      <w:proofErr w:type="spellEnd"/>
      <w:r w:rsidR="003F5B04" w:rsidRPr="003F5B04">
        <w:rPr>
          <w:rFonts w:ascii="Verdana" w:eastAsia="Calibri" w:hAnsi="Verdana" w:cs="Times New Roman"/>
          <w:bCs/>
          <w:sz w:val="18"/>
          <w:szCs w:val="18"/>
          <w:lang w:val="en-US"/>
        </w:rPr>
        <w:t>) and European sardine (</w:t>
      </w:r>
      <w:proofErr w:type="spellStart"/>
      <w:r w:rsidR="003F5B04" w:rsidRPr="00867D13">
        <w:rPr>
          <w:rFonts w:ascii="Verdana" w:eastAsia="Calibri" w:hAnsi="Verdana" w:cs="Times New Roman"/>
          <w:bCs/>
          <w:i/>
          <w:sz w:val="18"/>
          <w:szCs w:val="18"/>
          <w:lang w:val="en-US"/>
        </w:rPr>
        <w:t>Sardina</w:t>
      </w:r>
      <w:proofErr w:type="spellEnd"/>
      <w:r w:rsidR="003F5B04" w:rsidRPr="00867D13">
        <w:rPr>
          <w:rFonts w:ascii="Verdana" w:eastAsia="Calibri" w:hAnsi="Verdana" w:cs="Times New Roman"/>
          <w:bCs/>
          <w:i/>
          <w:sz w:val="18"/>
          <w:szCs w:val="18"/>
          <w:lang w:val="en-US"/>
        </w:rPr>
        <w:t xml:space="preserve"> pilchardus</w:t>
      </w:r>
      <w:r w:rsidR="003F5B04" w:rsidRPr="003F5B04">
        <w:rPr>
          <w:rFonts w:ascii="Verdana" w:eastAsia="Calibri" w:hAnsi="Verdana" w:cs="Times New Roman"/>
          <w:bCs/>
          <w:sz w:val="18"/>
          <w:szCs w:val="18"/>
          <w:lang w:val="en-US"/>
        </w:rPr>
        <w:t>)</w:t>
      </w:r>
      <w:r w:rsidR="003F5B04">
        <w:rPr>
          <w:rFonts w:ascii="Verdana" w:eastAsia="Calibri" w:hAnsi="Verdana" w:cs="Times New Roman"/>
          <w:bCs/>
          <w:sz w:val="18"/>
          <w:szCs w:val="18"/>
          <w:lang w:val="en-US"/>
        </w:rPr>
        <w:t xml:space="preserve"> </w:t>
      </w:r>
      <w:r w:rsidR="003F5B04" w:rsidRPr="003F5B04">
        <w:rPr>
          <w:rFonts w:ascii="Verdana" w:eastAsia="Calibri" w:hAnsi="Verdana" w:cs="Times New Roman"/>
          <w:bCs/>
          <w:sz w:val="18"/>
          <w:szCs w:val="18"/>
          <w:lang w:val="en-US"/>
        </w:rPr>
        <w:t xml:space="preserve">from the Mediterranean Sea: A literature review. </w:t>
      </w:r>
      <w:r w:rsidR="003F5B04" w:rsidRPr="00867D13">
        <w:rPr>
          <w:rFonts w:ascii="Verdana" w:eastAsia="Calibri" w:hAnsi="Verdana" w:cs="Times New Roman"/>
          <w:bCs/>
          <w:i/>
          <w:sz w:val="18"/>
          <w:szCs w:val="18"/>
          <w:lang w:val="en-US"/>
        </w:rPr>
        <w:t>Reg. Stud. Mar. Sci</w:t>
      </w:r>
      <w:r w:rsidR="003F5B04" w:rsidRPr="003F5B04">
        <w:rPr>
          <w:rFonts w:ascii="Verdana" w:eastAsia="Calibri" w:hAnsi="Verdana" w:cs="Times New Roman"/>
          <w:bCs/>
          <w:sz w:val="18"/>
          <w:szCs w:val="18"/>
          <w:lang w:val="en-US"/>
        </w:rPr>
        <w:t>.</w:t>
      </w:r>
      <w:r w:rsidR="004E7EEA">
        <w:rPr>
          <w:rFonts w:ascii="Verdana" w:eastAsia="Calibri" w:hAnsi="Verdana" w:cs="Times New Roman"/>
          <w:bCs/>
          <w:sz w:val="18"/>
          <w:szCs w:val="18"/>
          <w:lang w:val="en-US"/>
        </w:rPr>
        <w:t>,</w:t>
      </w:r>
      <w:r w:rsidR="003F5B04" w:rsidRPr="003F5B04">
        <w:rPr>
          <w:rFonts w:ascii="Verdana" w:eastAsia="Calibri" w:hAnsi="Verdana" w:cs="Times New Roman"/>
          <w:bCs/>
          <w:sz w:val="18"/>
          <w:szCs w:val="18"/>
          <w:lang w:val="en-US"/>
        </w:rPr>
        <w:t xml:space="preserve"> </w:t>
      </w:r>
      <w:r w:rsidR="003F5B04" w:rsidRPr="00867D13">
        <w:rPr>
          <w:rFonts w:ascii="Verdana" w:eastAsia="Calibri" w:hAnsi="Verdana" w:cs="Times New Roman"/>
          <w:b/>
          <w:bCs/>
          <w:sz w:val="18"/>
          <w:szCs w:val="18"/>
          <w:lang w:val="en-US"/>
        </w:rPr>
        <w:t>41</w:t>
      </w:r>
      <w:r>
        <w:rPr>
          <w:rFonts w:ascii="Verdana" w:eastAsia="Calibri" w:hAnsi="Verdana" w:cs="Times New Roman"/>
          <w:bCs/>
          <w:sz w:val="18"/>
          <w:szCs w:val="18"/>
          <w:lang w:val="en-US"/>
        </w:rPr>
        <w:t>:</w:t>
      </w:r>
      <w:r w:rsidR="003F5B04">
        <w:rPr>
          <w:rFonts w:ascii="Verdana" w:eastAsia="Calibri" w:hAnsi="Verdana" w:cs="Times New Roman"/>
          <w:bCs/>
          <w:sz w:val="18"/>
          <w:szCs w:val="18"/>
          <w:lang w:val="en-US"/>
        </w:rPr>
        <w:t xml:space="preserve"> </w:t>
      </w:r>
      <w:r w:rsidR="003F5B04" w:rsidRPr="003F5B04">
        <w:rPr>
          <w:rFonts w:ascii="Verdana" w:eastAsia="Calibri" w:hAnsi="Verdana" w:cs="Times New Roman"/>
          <w:bCs/>
          <w:sz w:val="18"/>
          <w:szCs w:val="18"/>
          <w:lang w:val="en-US"/>
        </w:rPr>
        <w:t>101606.</w:t>
      </w:r>
    </w:p>
    <w:p w14:paraId="1E4132FD" w14:textId="4F96F3D4" w:rsidR="003826B4" w:rsidRPr="006533BE" w:rsidRDefault="003826B4" w:rsidP="004E7EEA">
      <w:pPr>
        <w:spacing w:after="0" w:line="240" w:lineRule="auto"/>
        <w:ind w:left="284" w:hanging="284"/>
        <w:jc w:val="both"/>
        <w:rPr>
          <w:rFonts w:ascii="Verdana" w:eastAsia="Calibri" w:hAnsi="Verdana" w:cs="Times New Roman"/>
          <w:bCs/>
          <w:sz w:val="18"/>
          <w:szCs w:val="18"/>
          <w:lang w:val="en-US"/>
        </w:rPr>
      </w:pPr>
      <w:r w:rsidRPr="003826B4">
        <w:rPr>
          <w:rFonts w:ascii="Verdana" w:eastAsia="Calibri" w:hAnsi="Verdana" w:cs="Times New Roman"/>
          <w:bCs/>
          <w:sz w:val="18"/>
          <w:szCs w:val="18"/>
          <w:lang w:val="en-US"/>
        </w:rPr>
        <w:t xml:space="preserve">ICES </w:t>
      </w:r>
      <w:r w:rsidR="008A2171">
        <w:rPr>
          <w:rFonts w:ascii="Verdana" w:eastAsia="Calibri" w:hAnsi="Verdana" w:cs="Times New Roman"/>
          <w:bCs/>
          <w:sz w:val="18"/>
          <w:szCs w:val="18"/>
          <w:lang w:val="en-US"/>
        </w:rPr>
        <w:t>(</w:t>
      </w:r>
      <w:r w:rsidRPr="003826B4">
        <w:rPr>
          <w:rFonts w:ascii="Verdana" w:eastAsia="Calibri" w:hAnsi="Verdana" w:cs="Times New Roman"/>
          <w:bCs/>
          <w:sz w:val="18"/>
          <w:szCs w:val="18"/>
          <w:lang w:val="en-US"/>
        </w:rPr>
        <w:t>2008</w:t>
      </w:r>
      <w:r w:rsidR="008A2171">
        <w:rPr>
          <w:rFonts w:ascii="Verdana" w:eastAsia="Calibri" w:hAnsi="Verdana" w:cs="Times New Roman"/>
          <w:bCs/>
          <w:sz w:val="18"/>
          <w:szCs w:val="18"/>
          <w:lang w:val="en-US"/>
        </w:rPr>
        <w:t>) -</w:t>
      </w:r>
      <w:r w:rsidRPr="003826B4">
        <w:rPr>
          <w:rFonts w:ascii="Verdana" w:eastAsia="Calibri" w:hAnsi="Verdana" w:cs="Times New Roman"/>
          <w:bCs/>
          <w:sz w:val="18"/>
          <w:szCs w:val="18"/>
          <w:lang w:val="en-US"/>
        </w:rPr>
        <w:t xml:space="preserve"> Report of the Workshop on Small </w:t>
      </w:r>
      <w:proofErr w:type="spellStart"/>
      <w:r w:rsidRPr="003826B4">
        <w:rPr>
          <w:rFonts w:ascii="Verdana" w:eastAsia="Calibri" w:hAnsi="Verdana" w:cs="Times New Roman"/>
          <w:bCs/>
          <w:sz w:val="18"/>
          <w:szCs w:val="18"/>
          <w:lang w:val="en-US"/>
        </w:rPr>
        <w:t>Pelagics</w:t>
      </w:r>
      <w:proofErr w:type="spellEnd"/>
      <w:r w:rsidRPr="003826B4">
        <w:rPr>
          <w:rFonts w:ascii="Verdana" w:eastAsia="Calibri" w:hAnsi="Verdana" w:cs="Times New Roman"/>
          <w:bCs/>
          <w:sz w:val="18"/>
          <w:szCs w:val="18"/>
          <w:lang w:val="en-US"/>
        </w:rPr>
        <w:t xml:space="preserve"> </w:t>
      </w:r>
      <w:r w:rsidRPr="003826B4">
        <w:rPr>
          <w:rFonts w:ascii="Verdana" w:eastAsia="Calibri" w:hAnsi="Verdana" w:cs="Times New Roman"/>
          <w:bCs/>
          <w:i/>
          <w:iCs/>
          <w:sz w:val="18"/>
          <w:szCs w:val="18"/>
          <w:lang w:val="en-US"/>
        </w:rPr>
        <w:t>(</w:t>
      </w:r>
      <w:proofErr w:type="spellStart"/>
      <w:r w:rsidRPr="003826B4">
        <w:rPr>
          <w:rFonts w:ascii="Verdana" w:eastAsia="Calibri" w:hAnsi="Verdana" w:cs="Times New Roman"/>
          <w:bCs/>
          <w:i/>
          <w:iCs/>
          <w:sz w:val="18"/>
          <w:szCs w:val="18"/>
          <w:lang w:val="en-US"/>
        </w:rPr>
        <w:t>Sardina</w:t>
      </w:r>
      <w:proofErr w:type="spellEnd"/>
      <w:r w:rsidRPr="003826B4">
        <w:rPr>
          <w:rFonts w:ascii="Verdana" w:eastAsia="Calibri" w:hAnsi="Verdana" w:cs="Times New Roman"/>
          <w:bCs/>
          <w:i/>
          <w:iCs/>
          <w:sz w:val="18"/>
          <w:szCs w:val="18"/>
          <w:lang w:val="en-US"/>
        </w:rPr>
        <w:t xml:space="preserve"> pilchardus, </w:t>
      </w:r>
      <w:proofErr w:type="spellStart"/>
      <w:r w:rsidRPr="003826B4">
        <w:rPr>
          <w:rFonts w:ascii="Verdana" w:eastAsia="Calibri" w:hAnsi="Verdana" w:cs="Times New Roman"/>
          <w:bCs/>
          <w:i/>
          <w:iCs/>
          <w:sz w:val="18"/>
          <w:szCs w:val="18"/>
          <w:lang w:val="en-US"/>
        </w:rPr>
        <w:t>Engraulis</w:t>
      </w:r>
      <w:proofErr w:type="spellEnd"/>
      <w:r w:rsidRPr="003826B4">
        <w:rPr>
          <w:rFonts w:ascii="Verdana" w:eastAsia="Calibri" w:hAnsi="Verdana" w:cs="Times New Roman"/>
          <w:bCs/>
          <w:i/>
          <w:iCs/>
          <w:sz w:val="18"/>
          <w:szCs w:val="18"/>
          <w:lang w:val="en-US"/>
        </w:rPr>
        <w:t xml:space="preserve"> </w:t>
      </w:r>
      <w:proofErr w:type="spellStart"/>
      <w:r w:rsidRPr="003826B4">
        <w:rPr>
          <w:rFonts w:ascii="Verdana" w:eastAsia="Calibri" w:hAnsi="Verdana" w:cs="Times New Roman"/>
          <w:bCs/>
          <w:i/>
          <w:iCs/>
          <w:sz w:val="18"/>
          <w:szCs w:val="18"/>
          <w:lang w:val="en-US"/>
        </w:rPr>
        <w:t>encrasicolus</w:t>
      </w:r>
      <w:proofErr w:type="spellEnd"/>
      <w:r w:rsidRPr="003826B4">
        <w:rPr>
          <w:rFonts w:ascii="Verdana" w:eastAsia="Calibri" w:hAnsi="Verdana" w:cs="Times New Roman"/>
          <w:bCs/>
          <w:sz w:val="18"/>
          <w:szCs w:val="18"/>
          <w:lang w:val="en-US"/>
        </w:rPr>
        <w:t xml:space="preserve">) maturity stages (WKSPMAT), 10–14 November 2008, Mazara del </w:t>
      </w:r>
      <w:proofErr w:type="spellStart"/>
      <w:r w:rsidRPr="003826B4">
        <w:rPr>
          <w:rFonts w:ascii="Verdana" w:eastAsia="Calibri" w:hAnsi="Verdana" w:cs="Times New Roman"/>
          <w:bCs/>
          <w:sz w:val="18"/>
          <w:szCs w:val="18"/>
          <w:lang w:val="en-US"/>
        </w:rPr>
        <w:t>Vallo</w:t>
      </w:r>
      <w:proofErr w:type="spellEnd"/>
      <w:r w:rsidRPr="003826B4">
        <w:rPr>
          <w:rFonts w:ascii="Verdana" w:eastAsia="Calibri" w:hAnsi="Verdana" w:cs="Times New Roman"/>
          <w:bCs/>
          <w:sz w:val="18"/>
          <w:szCs w:val="18"/>
          <w:lang w:val="en-US"/>
        </w:rPr>
        <w:t xml:space="preserve">, Italy. </w:t>
      </w:r>
      <w:r w:rsidRPr="006533BE">
        <w:rPr>
          <w:rFonts w:ascii="Verdana" w:eastAsia="Calibri" w:hAnsi="Verdana" w:cs="Times New Roman"/>
          <w:bCs/>
          <w:sz w:val="18"/>
          <w:szCs w:val="18"/>
          <w:lang w:val="en-US"/>
        </w:rPr>
        <w:t>ICES CM 2008/ACOM:40. 82 pp.</w:t>
      </w:r>
    </w:p>
    <w:p w14:paraId="74A3AC6F" w14:textId="3DBDAA60" w:rsidR="00890E3A" w:rsidRPr="008A2171" w:rsidRDefault="008A2171" w:rsidP="004E7EEA">
      <w:pPr>
        <w:spacing w:after="0" w:line="240" w:lineRule="auto"/>
        <w:ind w:left="284" w:hanging="284"/>
        <w:jc w:val="both"/>
        <w:rPr>
          <w:rFonts w:ascii="Verdana" w:hAnsi="Verdana" w:cs="Times New Roman"/>
          <w:sz w:val="18"/>
          <w:lang w:val="en-US"/>
        </w:rPr>
      </w:pPr>
      <w:r w:rsidRPr="008A2171">
        <w:rPr>
          <w:rFonts w:ascii="Verdana" w:hAnsi="Verdana" w:cs="Times New Roman"/>
          <w:sz w:val="18"/>
          <w:lang w:val="en-US"/>
        </w:rPr>
        <w:t xml:space="preserve">PACETTI D., BALZANO M., COLELLA S., SANTOJANNI A., FREGA N. G. </w:t>
      </w:r>
      <w:r w:rsidR="00890E3A" w:rsidRPr="008A2171">
        <w:rPr>
          <w:rFonts w:ascii="Verdana" w:hAnsi="Verdana" w:cs="Times New Roman"/>
          <w:sz w:val="18"/>
          <w:lang w:val="en-US"/>
        </w:rPr>
        <w:t>(2013)</w:t>
      </w:r>
      <w:r w:rsidRPr="008A2171">
        <w:rPr>
          <w:rFonts w:ascii="Verdana" w:hAnsi="Verdana" w:cs="Times New Roman"/>
          <w:sz w:val="18"/>
          <w:lang w:val="en-US"/>
        </w:rPr>
        <w:t xml:space="preserve"> </w:t>
      </w:r>
      <w:r>
        <w:rPr>
          <w:rFonts w:ascii="Verdana" w:hAnsi="Verdana" w:cs="Times New Roman"/>
          <w:sz w:val="18"/>
          <w:lang w:val="en-US"/>
        </w:rPr>
        <w:t xml:space="preserve">- </w:t>
      </w:r>
      <w:r w:rsidR="00890E3A" w:rsidRPr="00890E3A">
        <w:rPr>
          <w:rFonts w:ascii="Verdana" w:hAnsi="Verdana" w:cs="Times New Roman"/>
          <w:sz w:val="18"/>
          <w:lang w:val="en-US"/>
        </w:rPr>
        <w:t>Effect of Spawning on Furan Fatty Acid Profile of Edible Muscle and Organ Tissues from Sardine (</w:t>
      </w:r>
      <w:proofErr w:type="spellStart"/>
      <w:r w:rsidR="00890E3A" w:rsidRPr="008A2171">
        <w:rPr>
          <w:rFonts w:ascii="Verdana" w:hAnsi="Verdana" w:cs="Times New Roman"/>
          <w:i/>
          <w:sz w:val="18"/>
          <w:lang w:val="en-US"/>
        </w:rPr>
        <w:t>Sardina</w:t>
      </w:r>
      <w:proofErr w:type="spellEnd"/>
      <w:r w:rsidR="00890E3A" w:rsidRPr="008A2171">
        <w:rPr>
          <w:rFonts w:ascii="Verdana" w:hAnsi="Verdana" w:cs="Times New Roman"/>
          <w:i/>
          <w:sz w:val="18"/>
          <w:lang w:val="en-US"/>
        </w:rPr>
        <w:t xml:space="preserve"> pilchardus</w:t>
      </w:r>
      <w:r w:rsidR="00890E3A" w:rsidRPr="00890E3A">
        <w:rPr>
          <w:rFonts w:ascii="Verdana" w:hAnsi="Verdana" w:cs="Times New Roman"/>
          <w:sz w:val="18"/>
          <w:lang w:val="en-US"/>
        </w:rPr>
        <w:t>) and Anchovy (</w:t>
      </w:r>
      <w:proofErr w:type="spellStart"/>
      <w:r w:rsidR="00890E3A" w:rsidRPr="008A2171">
        <w:rPr>
          <w:rFonts w:ascii="Verdana" w:hAnsi="Verdana" w:cs="Times New Roman"/>
          <w:i/>
          <w:sz w:val="18"/>
          <w:lang w:val="en-US"/>
        </w:rPr>
        <w:t>Engraulis</w:t>
      </w:r>
      <w:proofErr w:type="spellEnd"/>
      <w:r w:rsidR="00890E3A" w:rsidRPr="008A2171">
        <w:rPr>
          <w:rFonts w:ascii="Verdana" w:hAnsi="Verdana" w:cs="Times New Roman"/>
          <w:i/>
          <w:sz w:val="18"/>
          <w:lang w:val="en-US"/>
        </w:rPr>
        <w:t xml:space="preserve"> </w:t>
      </w:r>
      <w:proofErr w:type="spellStart"/>
      <w:r w:rsidR="00890E3A" w:rsidRPr="008A2171">
        <w:rPr>
          <w:rFonts w:ascii="Verdana" w:hAnsi="Verdana" w:cs="Times New Roman"/>
          <w:i/>
          <w:sz w:val="18"/>
          <w:lang w:val="en-US"/>
        </w:rPr>
        <w:t>encrasicolus</w:t>
      </w:r>
      <w:proofErr w:type="spellEnd"/>
      <w:r w:rsidR="00890E3A" w:rsidRPr="00890E3A">
        <w:rPr>
          <w:rFonts w:ascii="Verdana" w:hAnsi="Verdana" w:cs="Times New Roman"/>
          <w:sz w:val="18"/>
          <w:lang w:val="en-US"/>
        </w:rPr>
        <w:t xml:space="preserve">). </w:t>
      </w:r>
      <w:r w:rsidR="00890E3A" w:rsidRPr="008A2171">
        <w:rPr>
          <w:rFonts w:ascii="Verdana" w:hAnsi="Verdana" w:cs="Times New Roman"/>
          <w:i/>
          <w:sz w:val="18"/>
          <w:lang w:val="en-US"/>
        </w:rPr>
        <w:t>J</w:t>
      </w:r>
      <w:r w:rsidR="004E7EEA">
        <w:rPr>
          <w:rFonts w:ascii="Verdana" w:hAnsi="Verdana" w:cs="Times New Roman"/>
          <w:i/>
          <w:sz w:val="18"/>
          <w:lang w:val="en-US"/>
        </w:rPr>
        <w:t xml:space="preserve">. </w:t>
      </w:r>
      <w:r w:rsidR="00890E3A" w:rsidRPr="008A2171">
        <w:rPr>
          <w:rFonts w:ascii="Verdana" w:hAnsi="Verdana" w:cs="Times New Roman"/>
          <w:i/>
          <w:sz w:val="18"/>
          <w:lang w:val="en-US"/>
        </w:rPr>
        <w:t>Agric</w:t>
      </w:r>
      <w:r w:rsidR="004E7EEA">
        <w:rPr>
          <w:rFonts w:ascii="Verdana" w:hAnsi="Verdana" w:cs="Times New Roman"/>
          <w:i/>
          <w:sz w:val="18"/>
          <w:lang w:val="en-US"/>
        </w:rPr>
        <w:t>.</w:t>
      </w:r>
      <w:r w:rsidR="00890E3A" w:rsidRPr="008A2171">
        <w:rPr>
          <w:rFonts w:ascii="Verdana" w:hAnsi="Verdana" w:cs="Times New Roman"/>
          <w:i/>
          <w:sz w:val="18"/>
          <w:lang w:val="en-US"/>
        </w:rPr>
        <w:t xml:space="preserve"> Food Chem</w:t>
      </w:r>
      <w:r w:rsidR="004E7EEA">
        <w:rPr>
          <w:rFonts w:ascii="Verdana" w:hAnsi="Verdana" w:cs="Times New Roman"/>
          <w:i/>
          <w:sz w:val="18"/>
          <w:lang w:val="en-US"/>
        </w:rPr>
        <w:t>.</w:t>
      </w:r>
      <w:r w:rsidR="00890E3A" w:rsidRPr="008A2171">
        <w:rPr>
          <w:rFonts w:ascii="Verdana" w:hAnsi="Verdana" w:cs="Times New Roman"/>
          <w:sz w:val="18"/>
          <w:lang w:val="en-US"/>
        </w:rPr>
        <w:t xml:space="preserve">, </w:t>
      </w:r>
      <w:r w:rsidR="00890E3A" w:rsidRPr="008A2171">
        <w:rPr>
          <w:rFonts w:ascii="Verdana" w:hAnsi="Verdana" w:cs="Times New Roman"/>
          <w:b/>
          <w:sz w:val="18"/>
          <w:lang w:val="en-US"/>
        </w:rPr>
        <w:t>61</w:t>
      </w:r>
      <w:r w:rsidR="00890E3A" w:rsidRPr="008A2171">
        <w:rPr>
          <w:rFonts w:ascii="Verdana" w:hAnsi="Verdana" w:cs="Times New Roman"/>
          <w:sz w:val="18"/>
          <w:lang w:val="en-US"/>
        </w:rPr>
        <w:t>(16)</w:t>
      </w:r>
      <w:r w:rsidR="004E7EEA">
        <w:rPr>
          <w:rFonts w:ascii="Verdana" w:hAnsi="Verdana" w:cs="Times New Roman"/>
          <w:sz w:val="18"/>
          <w:lang w:val="en-US"/>
        </w:rPr>
        <w:t>:</w:t>
      </w:r>
      <w:r w:rsidR="00890E3A" w:rsidRPr="008A2171">
        <w:rPr>
          <w:rFonts w:ascii="Verdana" w:hAnsi="Verdana" w:cs="Times New Roman"/>
          <w:sz w:val="18"/>
          <w:lang w:val="en-US"/>
        </w:rPr>
        <w:t xml:space="preserve"> 3969–3977</w:t>
      </w:r>
      <w:r>
        <w:rPr>
          <w:rFonts w:ascii="Verdana" w:hAnsi="Verdana" w:cs="Times New Roman"/>
          <w:sz w:val="18"/>
          <w:lang w:val="en-US"/>
        </w:rPr>
        <w:t>.</w:t>
      </w:r>
    </w:p>
    <w:p w14:paraId="0B373C73" w14:textId="66015141" w:rsidR="00C85CA7" w:rsidRPr="004E7EEA" w:rsidRDefault="008A2171" w:rsidP="004E7EEA">
      <w:pPr>
        <w:spacing w:after="0" w:line="240" w:lineRule="auto"/>
        <w:ind w:left="284" w:hanging="284"/>
        <w:jc w:val="both"/>
        <w:rPr>
          <w:rFonts w:ascii="Verdana" w:hAnsi="Verdana"/>
          <w:sz w:val="18"/>
          <w:lang w:val="en-US"/>
        </w:rPr>
      </w:pPr>
      <w:r w:rsidRPr="008A2171">
        <w:rPr>
          <w:rFonts w:ascii="Verdana" w:hAnsi="Verdana" w:cs="Times New Roman"/>
          <w:sz w:val="18"/>
          <w:lang w:val="en-US"/>
        </w:rPr>
        <w:t>SANTOJANNI A., ARNERI E., BERNARDINI V., CINGOLANI N., DI MARCO M., RUSSO, A.</w:t>
      </w:r>
      <w:r w:rsidR="003826B4" w:rsidRPr="003826B4">
        <w:rPr>
          <w:rFonts w:ascii="Verdana" w:hAnsi="Verdana" w:cs="Times New Roman"/>
          <w:sz w:val="18"/>
          <w:lang w:val="en-US"/>
        </w:rPr>
        <w:t xml:space="preserve"> </w:t>
      </w:r>
      <w:r>
        <w:rPr>
          <w:rFonts w:ascii="Verdana" w:hAnsi="Verdana" w:cs="Times New Roman"/>
          <w:sz w:val="18"/>
          <w:lang w:val="en-US"/>
        </w:rPr>
        <w:t>(</w:t>
      </w:r>
      <w:r w:rsidR="003826B4" w:rsidRPr="003826B4">
        <w:rPr>
          <w:rFonts w:ascii="Verdana" w:hAnsi="Verdana" w:cs="Times New Roman"/>
          <w:sz w:val="18"/>
          <w:lang w:val="en-US"/>
        </w:rPr>
        <w:t>2006</w:t>
      </w:r>
      <w:r>
        <w:rPr>
          <w:rFonts w:ascii="Verdana" w:hAnsi="Verdana" w:cs="Times New Roman"/>
          <w:sz w:val="18"/>
          <w:lang w:val="en-US"/>
        </w:rPr>
        <w:t>) -</w:t>
      </w:r>
      <w:r w:rsidR="003826B4" w:rsidRPr="003826B4">
        <w:rPr>
          <w:rFonts w:ascii="Verdana" w:hAnsi="Verdana" w:cs="Times New Roman"/>
          <w:sz w:val="18"/>
          <w:lang w:val="en-US"/>
        </w:rPr>
        <w:t xml:space="preserve"> Effects of environmental variables on recruitment of anchovy in the Adriatic Sea. </w:t>
      </w:r>
      <w:proofErr w:type="spellStart"/>
      <w:r w:rsidR="003826B4" w:rsidRPr="003826B4">
        <w:rPr>
          <w:rFonts w:ascii="Verdana" w:hAnsi="Verdana" w:cs="Times New Roman"/>
          <w:i/>
          <w:sz w:val="18"/>
          <w:lang w:val="en-US"/>
        </w:rPr>
        <w:t>Clim</w:t>
      </w:r>
      <w:proofErr w:type="spellEnd"/>
      <w:r w:rsidR="004E7EEA">
        <w:rPr>
          <w:rFonts w:ascii="Verdana" w:hAnsi="Verdana" w:cs="Times New Roman"/>
          <w:i/>
          <w:sz w:val="18"/>
          <w:lang w:val="en-US"/>
        </w:rPr>
        <w:t>.</w:t>
      </w:r>
      <w:r w:rsidR="003826B4" w:rsidRPr="003826B4">
        <w:rPr>
          <w:rFonts w:ascii="Verdana" w:hAnsi="Verdana" w:cs="Times New Roman"/>
          <w:i/>
          <w:sz w:val="18"/>
          <w:lang w:val="en-US"/>
        </w:rPr>
        <w:t xml:space="preserve"> Res</w:t>
      </w:r>
      <w:r w:rsidR="004E7EEA">
        <w:rPr>
          <w:rFonts w:ascii="Verdana" w:hAnsi="Verdana" w:cs="Times New Roman"/>
          <w:i/>
          <w:sz w:val="18"/>
          <w:lang w:val="en-US"/>
        </w:rPr>
        <w:t>.</w:t>
      </w:r>
      <w:r>
        <w:rPr>
          <w:rFonts w:ascii="Verdana" w:hAnsi="Verdana" w:cs="Times New Roman"/>
          <w:sz w:val="18"/>
          <w:lang w:val="en-US"/>
        </w:rPr>
        <w:t>,</w:t>
      </w:r>
      <w:r w:rsidR="003826B4" w:rsidRPr="003826B4">
        <w:rPr>
          <w:rFonts w:ascii="Verdana" w:hAnsi="Verdana" w:cs="Times New Roman"/>
          <w:sz w:val="18"/>
          <w:lang w:val="en-US"/>
        </w:rPr>
        <w:t xml:space="preserve"> </w:t>
      </w:r>
      <w:r w:rsidR="003826B4" w:rsidRPr="003826B4">
        <w:rPr>
          <w:rFonts w:ascii="Verdana" w:hAnsi="Verdana" w:cs="Times New Roman"/>
          <w:b/>
          <w:sz w:val="18"/>
          <w:lang w:val="en-US"/>
        </w:rPr>
        <w:t>31</w:t>
      </w:r>
      <w:r>
        <w:rPr>
          <w:rFonts w:ascii="Verdana" w:hAnsi="Verdana" w:cs="Times New Roman"/>
          <w:sz w:val="18"/>
          <w:lang w:val="en-US"/>
        </w:rPr>
        <w:t>:</w:t>
      </w:r>
      <w:r w:rsidR="003826B4" w:rsidRPr="003826B4">
        <w:rPr>
          <w:rFonts w:ascii="Verdana" w:hAnsi="Verdana" w:cs="Times New Roman"/>
          <w:sz w:val="18"/>
          <w:lang w:val="en-US"/>
        </w:rPr>
        <w:t xml:space="preserve"> 181–193.</w:t>
      </w:r>
    </w:p>
    <w:sectPr w:rsidR="00C85CA7" w:rsidRPr="004E7EEA" w:rsidSect="00794C32">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6E56" w14:textId="77777777" w:rsidR="00E550BF" w:rsidRDefault="00E550BF" w:rsidP="005029A6">
      <w:pPr>
        <w:spacing w:after="0" w:line="240" w:lineRule="auto"/>
      </w:pPr>
      <w:r>
        <w:separator/>
      </w:r>
    </w:p>
  </w:endnote>
  <w:endnote w:type="continuationSeparator" w:id="0">
    <w:p w14:paraId="578AE970" w14:textId="77777777" w:rsidR="00E550BF" w:rsidRDefault="00E550BF" w:rsidP="0050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panose1 w:val="020B0604020202020204"/>
    <w:charset w:val="00"/>
    <w:family w:val="auto"/>
    <w:notTrueType/>
    <w:pitch w:val="default"/>
    <w:sig w:usb0="00000003" w:usb1="00000000" w:usb2="00000000" w:usb3="00000000" w:csb0="00000001" w:csb1="00000000"/>
  </w:font>
  <w:font w:name="MyriadPro-I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496C" w14:textId="77777777" w:rsidR="00782507" w:rsidRDefault="007825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A840" w14:textId="77777777" w:rsidR="00782507" w:rsidRDefault="00782507" w:rsidP="00782507">
    <w:pPr>
      <w:pStyle w:val="Pidipagina"/>
      <w:rPr>
        <w:rFonts w:ascii="Verdana" w:hAnsi="Verdana"/>
        <w:sz w:val="16"/>
        <w:szCs w:val="16"/>
      </w:rPr>
    </w:pPr>
  </w:p>
  <w:p w14:paraId="3BF88394" w14:textId="2DC38FFC" w:rsidR="00782507" w:rsidRDefault="00782507" w:rsidP="00782507">
    <w:pPr>
      <w:pStyle w:val="Pidipagina"/>
    </w:pPr>
    <w:proofErr w:type="spellStart"/>
    <w:r>
      <w:rPr>
        <w:rFonts w:ascii="Verdana" w:hAnsi="Verdana"/>
        <w:sz w:val="16"/>
        <w:szCs w:val="16"/>
      </w:rPr>
      <w:t>Cacciamani</w:t>
    </w:r>
    <w:proofErr w:type="spellEnd"/>
    <w:r>
      <w:rPr>
        <w:rFonts w:ascii="Verdana" w:hAnsi="Verdana"/>
        <w:sz w:val="16"/>
        <w:szCs w:val="16"/>
      </w:rPr>
      <w:t xml:space="preserve"> </w:t>
    </w:r>
    <w:r w:rsidRPr="00755425">
      <w:rPr>
        <w:rFonts w:ascii="Verdana" w:hAnsi="Verdana"/>
        <w:i/>
        <w:iCs/>
        <w:sz w:val="16"/>
        <w:szCs w:val="16"/>
      </w:rPr>
      <w:t>et al.</w:t>
    </w:r>
    <w:r w:rsidRPr="00011EB8">
      <w:rPr>
        <w:rFonts w:ascii="Verdana" w:hAnsi="Verdana"/>
        <w:sz w:val="16"/>
        <w:szCs w:val="16"/>
      </w:rPr>
      <w:t>, 202</w:t>
    </w:r>
    <w:r>
      <w:rPr>
        <w:rFonts w:ascii="Verdana" w:hAnsi="Verdana"/>
        <w:sz w:val="16"/>
        <w:szCs w:val="16"/>
      </w:rPr>
      <w:t>4</w:t>
    </w:r>
    <w:r>
      <w:tab/>
    </w:r>
  </w:p>
  <w:p w14:paraId="2FBD1A20" w14:textId="77777777" w:rsidR="00782507" w:rsidRDefault="0078250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233B" w14:textId="77777777" w:rsidR="00782507" w:rsidRDefault="007825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DDB2" w14:textId="77777777" w:rsidR="00E550BF" w:rsidRDefault="00E550BF" w:rsidP="005029A6">
      <w:pPr>
        <w:spacing w:after="0" w:line="240" w:lineRule="auto"/>
      </w:pPr>
      <w:r>
        <w:separator/>
      </w:r>
    </w:p>
  </w:footnote>
  <w:footnote w:type="continuationSeparator" w:id="0">
    <w:p w14:paraId="6B121027" w14:textId="77777777" w:rsidR="00E550BF" w:rsidRDefault="00E550BF" w:rsidP="00502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D72F" w14:textId="77777777" w:rsidR="00782507" w:rsidRDefault="007825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D69E" w14:textId="145A8F64" w:rsidR="00782507" w:rsidRPr="00011EB8" w:rsidRDefault="00782507" w:rsidP="00782507">
    <w:pPr>
      <w:tabs>
        <w:tab w:val="center" w:pos="4819"/>
        <w:tab w:val="right" w:pos="9638"/>
      </w:tabs>
      <w:spacing w:after="120"/>
      <w:rPr>
        <w:rFonts w:ascii="Verdana" w:hAnsi="Verdana" w:cs="MyriadPro-Regular"/>
        <w:sz w:val="16"/>
        <w:szCs w:val="16"/>
        <w:lang w:val="es-419"/>
      </w:rPr>
    </w:pPr>
    <w:bookmarkStart w:id="3" w:name="_Hlk157703948"/>
    <w:bookmarkStart w:id="4" w:name="_Hlk157703949"/>
    <w:bookmarkStart w:id="5" w:name="_Hlk157703950"/>
    <w:bookmarkStart w:id="6" w:name="_Hlk157703951"/>
    <w:r w:rsidRPr="00011EB8">
      <w:rPr>
        <w:rFonts w:ascii="Verdana" w:hAnsi="Verdana" w:cs="MyriadPro-It"/>
        <w:i/>
        <w:iCs/>
        <w:sz w:val="16"/>
        <w:szCs w:val="16"/>
        <w:lang w:val="es-419"/>
      </w:rPr>
      <w:t>Biol. Mar. Mediterr</w:t>
    </w:r>
    <w:r w:rsidRPr="00C41A18">
      <w:rPr>
        <w:rFonts w:ascii="Verdana" w:hAnsi="Verdana" w:cs="MyriadPro-It"/>
        <w:i/>
        <w:iCs/>
        <w:sz w:val="16"/>
        <w:szCs w:val="16"/>
        <w:lang w:val="es-419"/>
      </w:rPr>
      <w:t xml:space="preserve">. </w:t>
    </w:r>
    <w:r w:rsidRPr="00C41A18">
      <w:rPr>
        <w:rFonts w:ascii="Verdana" w:hAnsi="Verdana" w:cs="MyriadPro-Regular"/>
        <w:sz w:val="16"/>
        <w:szCs w:val="16"/>
        <w:lang w:val="es-419"/>
      </w:rPr>
      <w:t xml:space="preserve">(2024), 28 (1): </w:t>
    </w:r>
    <w:r>
      <w:rPr>
        <w:rFonts w:ascii="Verdana" w:hAnsi="Verdana" w:cs="MyriadPro-Regular"/>
        <w:sz w:val="16"/>
        <w:szCs w:val="16"/>
        <w:lang w:val="es-419"/>
      </w:rPr>
      <w:t>172-175</w:t>
    </w:r>
    <w:r w:rsidRPr="00011EB8">
      <w:rPr>
        <w:rFonts w:ascii="Verdana" w:hAnsi="Verdana" w:cs="MyriadPro-Regular"/>
        <w:sz w:val="16"/>
        <w:szCs w:val="16"/>
        <w:lang w:val="es-419"/>
      </w:rPr>
      <w:tab/>
    </w:r>
    <w:r w:rsidRPr="00011EB8">
      <w:rPr>
        <w:rFonts w:ascii="Verdana" w:hAnsi="Verdana" w:cs="MyriadPro-Regular"/>
        <w:sz w:val="16"/>
        <w:szCs w:val="16"/>
        <w:lang w:val="es-419"/>
      </w:rPr>
      <w:tab/>
      <w:t>www.biologiamarinamediterranea.it</w:t>
    </w:r>
  </w:p>
  <w:p w14:paraId="338A3F3F" w14:textId="77777777" w:rsidR="00782507" w:rsidRPr="006C1D5E" w:rsidRDefault="00782507" w:rsidP="00782507">
    <w:pPr>
      <w:pStyle w:val="Intestazione"/>
    </w:pPr>
    <w:r w:rsidRPr="006F4122">
      <w:rPr>
        <w:rFonts w:ascii="Verdana" w:hAnsi="Verdana" w:cs="MyriadPro-Regular"/>
        <w:sz w:val="16"/>
        <w:szCs w:val="16"/>
      </w:rPr>
      <w:t xml:space="preserve">52° Congresso SIBM: </w:t>
    </w:r>
    <w:bookmarkEnd w:id="3"/>
    <w:bookmarkEnd w:id="4"/>
    <w:bookmarkEnd w:id="5"/>
    <w:bookmarkEnd w:id="6"/>
    <w:r>
      <w:rPr>
        <w:rFonts w:ascii="Verdana" w:hAnsi="Verdana" w:cs="MyriadPro-Regular"/>
        <w:sz w:val="16"/>
        <w:szCs w:val="16"/>
      </w:rPr>
      <w:t>Necton e Pesca</w:t>
    </w:r>
  </w:p>
  <w:p w14:paraId="59A9112D" w14:textId="77777777" w:rsidR="00782507" w:rsidRPr="00441EC6" w:rsidRDefault="00782507" w:rsidP="00782507">
    <w:pPr>
      <w:pStyle w:val="Intestazione"/>
    </w:pPr>
  </w:p>
  <w:p w14:paraId="79DAEE3A" w14:textId="0EC811F0" w:rsidR="00782507" w:rsidRPr="00782507" w:rsidRDefault="00782507" w:rsidP="0078250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6FBE" w14:textId="77777777" w:rsidR="00782507" w:rsidRDefault="007825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ED0"/>
    <w:multiLevelType w:val="hybridMultilevel"/>
    <w:tmpl w:val="98E06BAC"/>
    <w:lvl w:ilvl="0" w:tplc="A166752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26635B64"/>
    <w:multiLevelType w:val="hybridMultilevel"/>
    <w:tmpl w:val="98E06BAC"/>
    <w:lvl w:ilvl="0" w:tplc="A166752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29E14698"/>
    <w:multiLevelType w:val="hybridMultilevel"/>
    <w:tmpl w:val="98E06BAC"/>
    <w:lvl w:ilvl="0" w:tplc="A166752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305C057F"/>
    <w:multiLevelType w:val="hybridMultilevel"/>
    <w:tmpl w:val="353C8A4E"/>
    <w:lvl w:ilvl="0" w:tplc="7750D8E8">
      <w:start w:val="1"/>
      <w:numFmt w:val="lowerLetter"/>
      <w:lvlText w:val="(%1)"/>
      <w:lvlJc w:val="left"/>
      <w:pPr>
        <w:ind w:left="1069" w:hanging="360"/>
      </w:pPr>
      <w:rPr>
        <w:rFonts w:hint="default"/>
        <w:lang w:val="en-US"/>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694C4F08"/>
    <w:multiLevelType w:val="hybridMultilevel"/>
    <w:tmpl w:val="D922A2B6"/>
    <w:lvl w:ilvl="0" w:tplc="B74EE46E">
      <w:start w:val="1"/>
      <w:numFmt w:val="lowerLetter"/>
      <w:lvlText w:val="(%1)"/>
      <w:lvlJc w:val="left"/>
      <w:pPr>
        <w:ind w:left="1637" w:hanging="36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5" w15:restartNumberingAfterBreak="0">
    <w:nsid w:val="78105F9C"/>
    <w:multiLevelType w:val="hybridMultilevel"/>
    <w:tmpl w:val="509C0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2880920">
    <w:abstractNumId w:val="5"/>
  </w:num>
  <w:num w:numId="2" w16cid:durableId="1217164129">
    <w:abstractNumId w:val="2"/>
  </w:num>
  <w:num w:numId="3" w16cid:durableId="1748919046">
    <w:abstractNumId w:val="1"/>
  </w:num>
  <w:num w:numId="4" w16cid:durableId="661391039">
    <w:abstractNumId w:val="0"/>
  </w:num>
  <w:num w:numId="5" w16cid:durableId="1679769764">
    <w:abstractNumId w:val="3"/>
  </w:num>
  <w:num w:numId="6" w16cid:durableId="1979609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0MTK3NDczMDI1NzRR0lEKTi0uzszPAykwNK0FANTjHeotAAAA"/>
  </w:docVars>
  <w:rsids>
    <w:rsidRoot w:val="00B8777D"/>
    <w:rsid w:val="00010947"/>
    <w:rsid w:val="00027703"/>
    <w:rsid w:val="00031D69"/>
    <w:rsid w:val="00037060"/>
    <w:rsid w:val="000420C9"/>
    <w:rsid w:val="00054CB1"/>
    <w:rsid w:val="00060E6C"/>
    <w:rsid w:val="0007101D"/>
    <w:rsid w:val="00071DC8"/>
    <w:rsid w:val="0008786A"/>
    <w:rsid w:val="000B3925"/>
    <w:rsid w:val="000B510F"/>
    <w:rsid w:val="000B7E14"/>
    <w:rsid w:val="000C5A68"/>
    <w:rsid w:val="000C6ABF"/>
    <w:rsid w:val="000C7CAF"/>
    <w:rsid w:val="000E0F7D"/>
    <w:rsid w:val="000E2841"/>
    <w:rsid w:val="000E4F40"/>
    <w:rsid w:val="000F3358"/>
    <w:rsid w:val="000F57C8"/>
    <w:rsid w:val="000F5C69"/>
    <w:rsid w:val="000F6128"/>
    <w:rsid w:val="00110400"/>
    <w:rsid w:val="00136CF4"/>
    <w:rsid w:val="0015263F"/>
    <w:rsid w:val="001878E2"/>
    <w:rsid w:val="00232F3C"/>
    <w:rsid w:val="00283CAE"/>
    <w:rsid w:val="002B41D6"/>
    <w:rsid w:val="002C6481"/>
    <w:rsid w:val="002F181A"/>
    <w:rsid w:val="002F35BE"/>
    <w:rsid w:val="00304F37"/>
    <w:rsid w:val="00306747"/>
    <w:rsid w:val="0031160F"/>
    <w:rsid w:val="00320951"/>
    <w:rsid w:val="00321A5C"/>
    <w:rsid w:val="003221A1"/>
    <w:rsid w:val="00334FE8"/>
    <w:rsid w:val="00335A0A"/>
    <w:rsid w:val="0034676F"/>
    <w:rsid w:val="00357CED"/>
    <w:rsid w:val="003826B4"/>
    <w:rsid w:val="003A4C30"/>
    <w:rsid w:val="003D4776"/>
    <w:rsid w:val="003E4B7C"/>
    <w:rsid w:val="003F1618"/>
    <w:rsid w:val="003F5B04"/>
    <w:rsid w:val="00404199"/>
    <w:rsid w:val="00414D47"/>
    <w:rsid w:val="0046741C"/>
    <w:rsid w:val="004740CC"/>
    <w:rsid w:val="004C53B7"/>
    <w:rsid w:val="004E7EEA"/>
    <w:rsid w:val="004F4C80"/>
    <w:rsid w:val="005029A6"/>
    <w:rsid w:val="00505979"/>
    <w:rsid w:val="005141E2"/>
    <w:rsid w:val="0051727F"/>
    <w:rsid w:val="00526FB8"/>
    <w:rsid w:val="00540D04"/>
    <w:rsid w:val="00552DCE"/>
    <w:rsid w:val="00572E67"/>
    <w:rsid w:val="00574B44"/>
    <w:rsid w:val="0058217B"/>
    <w:rsid w:val="00583252"/>
    <w:rsid w:val="005A5930"/>
    <w:rsid w:val="005C29E0"/>
    <w:rsid w:val="005C6B3A"/>
    <w:rsid w:val="005F075D"/>
    <w:rsid w:val="00601A7B"/>
    <w:rsid w:val="006147BC"/>
    <w:rsid w:val="00625353"/>
    <w:rsid w:val="0062683C"/>
    <w:rsid w:val="006272CC"/>
    <w:rsid w:val="006533BE"/>
    <w:rsid w:val="00661D48"/>
    <w:rsid w:val="00663F40"/>
    <w:rsid w:val="00674746"/>
    <w:rsid w:val="00691E21"/>
    <w:rsid w:val="006A20D6"/>
    <w:rsid w:val="006B4F70"/>
    <w:rsid w:val="006E4F68"/>
    <w:rsid w:val="006E7270"/>
    <w:rsid w:val="00704ED9"/>
    <w:rsid w:val="007106B7"/>
    <w:rsid w:val="0072219D"/>
    <w:rsid w:val="007240C1"/>
    <w:rsid w:val="0073153C"/>
    <w:rsid w:val="007406E4"/>
    <w:rsid w:val="00742600"/>
    <w:rsid w:val="00782507"/>
    <w:rsid w:val="00794C32"/>
    <w:rsid w:val="007A5B6A"/>
    <w:rsid w:val="007A62DB"/>
    <w:rsid w:val="007D3292"/>
    <w:rsid w:val="007F0EAD"/>
    <w:rsid w:val="007F58EC"/>
    <w:rsid w:val="00803F06"/>
    <w:rsid w:val="008379F3"/>
    <w:rsid w:val="008478E0"/>
    <w:rsid w:val="00854851"/>
    <w:rsid w:val="00867D13"/>
    <w:rsid w:val="00882C53"/>
    <w:rsid w:val="00890E3A"/>
    <w:rsid w:val="008A2171"/>
    <w:rsid w:val="008A442D"/>
    <w:rsid w:val="008E5F29"/>
    <w:rsid w:val="008F48A7"/>
    <w:rsid w:val="008F7A6D"/>
    <w:rsid w:val="00910094"/>
    <w:rsid w:val="00936E02"/>
    <w:rsid w:val="009452A5"/>
    <w:rsid w:val="00954007"/>
    <w:rsid w:val="0096193E"/>
    <w:rsid w:val="00966003"/>
    <w:rsid w:val="00983705"/>
    <w:rsid w:val="009A6C37"/>
    <w:rsid w:val="009B4441"/>
    <w:rsid w:val="009C0FB2"/>
    <w:rsid w:val="009D65BB"/>
    <w:rsid w:val="009F3F91"/>
    <w:rsid w:val="009F67CF"/>
    <w:rsid w:val="00A1569F"/>
    <w:rsid w:val="00A33711"/>
    <w:rsid w:val="00A372E2"/>
    <w:rsid w:val="00A376C6"/>
    <w:rsid w:val="00A379EC"/>
    <w:rsid w:val="00A8201E"/>
    <w:rsid w:val="00AA3EA7"/>
    <w:rsid w:val="00AD0B8F"/>
    <w:rsid w:val="00B21AA0"/>
    <w:rsid w:val="00B34CB6"/>
    <w:rsid w:val="00B53797"/>
    <w:rsid w:val="00B60A36"/>
    <w:rsid w:val="00B6656D"/>
    <w:rsid w:val="00B8555B"/>
    <w:rsid w:val="00B8777D"/>
    <w:rsid w:val="00B92032"/>
    <w:rsid w:val="00BA295C"/>
    <w:rsid w:val="00BA3C67"/>
    <w:rsid w:val="00BB692C"/>
    <w:rsid w:val="00BE145D"/>
    <w:rsid w:val="00BE68F8"/>
    <w:rsid w:val="00BF0A59"/>
    <w:rsid w:val="00BF23AA"/>
    <w:rsid w:val="00C11AA2"/>
    <w:rsid w:val="00C12C0F"/>
    <w:rsid w:val="00C2549D"/>
    <w:rsid w:val="00C4040E"/>
    <w:rsid w:val="00C408C4"/>
    <w:rsid w:val="00C83769"/>
    <w:rsid w:val="00C85CA7"/>
    <w:rsid w:val="00CB07BB"/>
    <w:rsid w:val="00CB08E5"/>
    <w:rsid w:val="00CB5B8C"/>
    <w:rsid w:val="00CC56A7"/>
    <w:rsid w:val="00CF0F82"/>
    <w:rsid w:val="00D0134E"/>
    <w:rsid w:val="00D05958"/>
    <w:rsid w:val="00D06BF5"/>
    <w:rsid w:val="00D1707C"/>
    <w:rsid w:val="00D2254C"/>
    <w:rsid w:val="00D27800"/>
    <w:rsid w:val="00D50092"/>
    <w:rsid w:val="00D6153F"/>
    <w:rsid w:val="00D8182E"/>
    <w:rsid w:val="00D90241"/>
    <w:rsid w:val="00DA10E5"/>
    <w:rsid w:val="00DB28C3"/>
    <w:rsid w:val="00DB72DA"/>
    <w:rsid w:val="00DC06E8"/>
    <w:rsid w:val="00DC3961"/>
    <w:rsid w:val="00DD0D2B"/>
    <w:rsid w:val="00DD67B9"/>
    <w:rsid w:val="00DF1671"/>
    <w:rsid w:val="00DF7C32"/>
    <w:rsid w:val="00E11764"/>
    <w:rsid w:val="00E34B56"/>
    <w:rsid w:val="00E34C93"/>
    <w:rsid w:val="00E550BF"/>
    <w:rsid w:val="00E55E98"/>
    <w:rsid w:val="00E571F6"/>
    <w:rsid w:val="00E62192"/>
    <w:rsid w:val="00E66F8A"/>
    <w:rsid w:val="00E7275B"/>
    <w:rsid w:val="00EC04CE"/>
    <w:rsid w:val="00EC5954"/>
    <w:rsid w:val="00ED4FDC"/>
    <w:rsid w:val="00EE0898"/>
    <w:rsid w:val="00EE2062"/>
    <w:rsid w:val="00EF6C09"/>
    <w:rsid w:val="00F01402"/>
    <w:rsid w:val="00F10BFD"/>
    <w:rsid w:val="00F57C7E"/>
    <w:rsid w:val="00F64455"/>
    <w:rsid w:val="00F85CBB"/>
    <w:rsid w:val="00FA3169"/>
    <w:rsid w:val="00FA5A98"/>
    <w:rsid w:val="00FA5C39"/>
    <w:rsid w:val="00FC29BD"/>
    <w:rsid w:val="00FF7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74EC"/>
  <w15:chartTrackingRefBased/>
  <w15:docId w15:val="{A827EC71-80B0-474B-A18C-99DD25A8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33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8786A"/>
    <w:pPr>
      <w:widowControl w:val="0"/>
      <w:autoSpaceDE w:val="0"/>
      <w:autoSpaceDN w:val="0"/>
      <w:adjustRightInd w:val="0"/>
      <w:spacing w:after="0" w:line="240" w:lineRule="auto"/>
    </w:pPr>
    <w:rPr>
      <w:rFonts w:ascii="Cambria" w:eastAsia="Times New Roman" w:hAnsi="Cambria" w:cs="Cambria"/>
      <w:color w:val="000000"/>
      <w:sz w:val="24"/>
      <w:szCs w:val="24"/>
      <w:lang w:eastAsia="it-IT"/>
    </w:rPr>
  </w:style>
  <w:style w:type="paragraph" w:styleId="Paragrafoelenco">
    <w:name w:val="List Paragraph"/>
    <w:basedOn w:val="Normale"/>
    <w:uiPriority w:val="34"/>
    <w:qFormat/>
    <w:rsid w:val="00EE2062"/>
    <w:pPr>
      <w:ind w:left="720"/>
      <w:contextualSpacing/>
    </w:pPr>
  </w:style>
  <w:style w:type="paragraph" w:styleId="Didascalia">
    <w:name w:val="caption"/>
    <w:basedOn w:val="Normale"/>
    <w:next w:val="Normale"/>
    <w:uiPriority w:val="35"/>
    <w:semiHidden/>
    <w:unhideWhenUsed/>
    <w:qFormat/>
    <w:rsid w:val="00334FE8"/>
    <w:pPr>
      <w:spacing w:after="200" w:line="240" w:lineRule="auto"/>
    </w:pPr>
    <w:rPr>
      <w:i/>
      <w:iCs/>
      <w:color w:val="44546A" w:themeColor="text2"/>
      <w:sz w:val="18"/>
      <w:szCs w:val="18"/>
    </w:rPr>
  </w:style>
  <w:style w:type="paragraph" w:styleId="Intestazione">
    <w:name w:val="header"/>
    <w:basedOn w:val="Normale"/>
    <w:link w:val="IntestazioneCarattere"/>
    <w:uiPriority w:val="99"/>
    <w:unhideWhenUsed/>
    <w:rsid w:val="005029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29A6"/>
  </w:style>
  <w:style w:type="paragraph" w:styleId="Pidipagina">
    <w:name w:val="footer"/>
    <w:basedOn w:val="Normale"/>
    <w:link w:val="PidipaginaCarattere"/>
    <w:uiPriority w:val="99"/>
    <w:unhideWhenUsed/>
    <w:rsid w:val="005029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29A6"/>
  </w:style>
  <w:style w:type="character" w:styleId="Rimandocommento">
    <w:name w:val="annotation reference"/>
    <w:basedOn w:val="Carpredefinitoparagrafo"/>
    <w:uiPriority w:val="99"/>
    <w:semiHidden/>
    <w:unhideWhenUsed/>
    <w:rsid w:val="00601A7B"/>
    <w:rPr>
      <w:sz w:val="16"/>
      <w:szCs w:val="16"/>
    </w:rPr>
  </w:style>
  <w:style w:type="paragraph" w:styleId="Testocommento">
    <w:name w:val="annotation text"/>
    <w:basedOn w:val="Normale"/>
    <w:link w:val="TestocommentoCarattere"/>
    <w:uiPriority w:val="99"/>
    <w:semiHidden/>
    <w:unhideWhenUsed/>
    <w:rsid w:val="00601A7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01A7B"/>
    <w:rPr>
      <w:sz w:val="20"/>
      <w:szCs w:val="20"/>
    </w:rPr>
  </w:style>
  <w:style w:type="paragraph" w:styleId="Soggettocommento">
    <w:name w:val="annotation subject"/>
    <w:basedOn w:val="Testocommento"/>
    <w:next w:val="Testocommento"/>
    <w:link w:val="SoggettocommentoCarattere"/>
    <w:uiPriority w:val="99"/>
    <w:semiHidden/>
    <w:unhideWhenUsed/>
    <w:rsid w:val="00601A7B"/>
    <w:rPr>
      <w:b/>
      <w:bCs/>
    </w:rPr>
  </w:style>
  <w:style w:type="character" w:customStyle="1" w:styleId="SoggettocommentoCarattere">
    <w:name w:val="Soggetto commento Carattere"/>
    <w:basedOn w:val="TestocommentoCarattere"/>
    <w:link w:val="Soggettocommento"/>
    <w:uiPriority w:val="99"/>
    <w:semiHidden/>
    <w:rsid w:val="00601A7B"/>
    <w:rPr>
      <w:b/>
      <w:bCs/>
      <w:sz w:val="20"/>
      <w:szCs w:val="20"/>
    </w:rPr>
  </w:style>
  <w:style w:type="paragraph" w:styleId="Testofumetto">
    <w:name w:val="Balloon Text"/>
    <w:basedOn w:val="Normale"/>
    <w:link w:val="TestofumettoCarattere"/>
    <w:uiPriority w:val="99"/>
    <w:semiHidden/>
    <w:unhideWhenUsed/>
    <w:rsid w:val="0060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1A7B"/>
    <w:rPr>
      <w:rFonts w:ascii="Segoe UI" w:hAnsi="Segoe UI" w:cs="Segoe UI"/>
      <w:sz w:val="18"/>
      <w:szCs w:val="18"/>
    </w:rPr>
  </w:style>
  <w:style w:type="character" w:styleId="Collegamentoipertestuale">
    <w:name w:val="Hyperlink"/>
    <w:basedOn w:val="Carpredefinitoparagrafo"/>
    <w:uiPriority w:val="99"/>
    <w:unhideWhenUsed/>
    <w:rsid w:val="004E7EEA"/>
    <w:rPr>
      <w:color w:val="0563C1" w:themeColor="hyperlink"/>
      <w:u w:val="single"/>
    </w:rPr>
  </w:style>
  <w:style w:type="character" w:styleId="Menzionenonrisolta">
    <w:name w:val="Unresolved Mention"/>
    <w:basedOn w:val="Carpredefinitoparagrafo"/>
    <w:uiPriority w:val="99"/>
    <w:semiHidden/>
    <w:unhideWhenUsed/>
    <w:rsid w:val="004E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5126">
      <w:bodyDiv w:val="1"/>
      <w:marLeft w:val="0"/>
      <w:marRight w:val="0"/>
      <w:marTop w:val="0"/>
      <w:marBottom w:val="0"/>
      <w:divBdr>
        <w:top w:val="none" w:sz="0" w:space="0" w:color="auto"/>
        <w:left w:val="none" w:sz="0" w:space="0" w:color="auto"/>
        <w:bottom w:val="none" w:sz="0" w:space="0" w:color="auto"/>
        <w:right w:val="none" w:sz="0" w:space="0" w:color="auto"/>
      </w:divBdr>
    </w:div>
    <w:div w:id="2027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o.cacciamani@irbim.cnr.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B4AB-9CDD-4C2A-A2F6-B1906E51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1721</Words>
  <Characters>9813</Characters>
  <Application>Microsoft Office Word</Application>
  <DocSecurity>0</DocSecurity>
  <Lines>81</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CARMELA CAROPPO</cp:lastModifiedBy>
  <cp:revision>4</cp:revision>
  <dcterms:created xsi:type="dcterms:W3CDTF">2024-02-13T14:57:00Z</dcterms:created>
  <dcterms:modified xsi:type="dcterms:W3CDTF">2024-05-07T08:27:00Z</dcterms:modified>
</cp:coreProperties>
</file>